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0.2pt" o:ole="">
                  <v:imagedata r:id="rId13" o:title=""/>
                </v:shape>
                <o:OLEObject Type="Embed" ProgID="Word.Picture.8" ShapeID="_x0000_i1025" DrawAspect="Content" ObjectID="_1757923537" r:id="rId14"/>
              </w:object>
            </w:r>
          </w:p>
          <w:p w14:paraId="5F2D79AC" w14:textId="265C696B" w:rsidR="009A6914" w:rsidRDefault="001633A8">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4F6B21" w14:paraId="5F2D79B2" w14:textId="77777777">
        <w:trPr>
          <w:cantSplit/>
          <w:trHeight w:val="345"/>
        </w:trPr>
        <w:tc>
          <w:tcPr>
            <w:tcW w:w="10350" w:type="dxa"/>
          </w:tcPr>
          <w:p w14:paraId="5F2D79B1" w14:textId="25136110" w:rsidR="009A6914" w:rsidRDefault="001633A8">
            <w:pPr>
              <w:spacing w:before="60" w:after="60"/>
              <w:jc w:val="center"/>
              <w:rPr>
                <w:rFonts w:ascii="Arial" w:hAnsi="Arial"/>
                <w:b/>
                <w:sz w:val="24"/>
                <w:lang w:val="fr-FR"/>
              </w:rPr>
            </w:pPr>
            <w:r w:rsidRPr="005D23F9">
              <w:rPr>
                <w:rFonts w:ascii="Arial" w:hAnsi="Arial"/>
                <w:b/>
                <w:bCs/>
                <w:sz w:val="24"/>
                <w:lang w:val="fr-FR"/>
              </w:rPr>
              <w:t xml:space="preserve">Certificat </w:t>
            </w:r>
            <w:r w:rsidR="003B5D5B" w:rsidRPr="005D23F9">
              <w:rPr>
                <w:rFonts w:ascii="Arial" w:hAnsi="Arial"/>
                <w:b/>
                <w:bCs/>
                <w:sz w:val="24"/>
                <w:lang w:val="fr-FR"/>
              </w:rPr>
              <w:t>de qualification</w:t>
            </w:r>
            <w:r w:rsidRPr="005D23F9">
              <w:rPr>
                <w:rFonts w:ascii="Arial" w:hAnsi="Arial"/>
                <w:b/>
                <w:bCs/>
                <w:sz w:val="24"/>
                <w:lang w:val="fr-FR"/>
              </w:rPr>
              <w:t xml:space="preserve"> d</w:t>
            </w:r>
            <w:r w:rsidR="00710D3C" w:rsidRPr="005D23F9">
              <w:rPr>
                <w:rFonts w:ascii="Arial" w:hAnsi="Arial"/>
                <w:b/>
                <w:bCs/>
                <w:sz w:val="24"/>
                <w:lang w:val="fr-FR"/>
              </w:rPr>
              <w:t>u</w:t>
            </w:r>
            <w:r>
              <w:rPr>
                <w:rFonts w:ascii="Arial" w:hAnsi="Arial"/>
                <w:b/>
                <w:sz w:val="24"/>
                <w:lang w:val="fr-FR"/>
              </w:rPr>
              <w:t xml:space="preserve"> </w:t>
            </w:r>
            <w:r w:rsidR="00C03BBD">
              <w:rPr>
                <w:rFonts w:ascii="Arial" w:hAnsi="Arial"/>
                <w:b/>
                <w:sz w:val="24"/>
                <w:lang w:val="fr-FR"/>
              </w:rPr>
              <w:t>Valoriste généraliste</w:t>
            </w:r>
            <w:r>
              <w:rPr>
                <w:rFonts w:ascii="Arial" w:hAnsi="Arial"/>
                <w:b/>
                <w:sz w:val="24"/>
                <w:lang w:val="fr-FR"/>
              </w:rPr>
              <w:t xml:space="preserve"> m/f </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4F6B21"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EE451A" w14:paraId="5F2D79B9" w14:textId="77777777">
        <w:trPr>
          <w:trHeight w:val="341"/>
        </w:trPr>
        <w:tc>
          <w:tcPr>
            <w:tcW w:w="10350" w:type="dxa"/>
          </w:tcPr>
          <w:p w14:paraId="5F2D79B8" w14:textId="1F112255" w:rsidR="009A6914" w:rsidRPr="00EE451A" w:rsidRDefault="00EE451A">
            <w:pPr>
              <w:spacing w:before="60" w:after="60"/>
              <w:jc w:val="center"/>
              <w:rPr>
                <w:rFonts w:ascii="Arial" w:hAnsi="Arial"/>
                <w:lang w:val="en-US"/>
              </w:rPr>
            </w:pPr>
            <w:proofErr w:type="spellStart"/>
            <w:r w:rsidRPr="00EE451A">
              <w:rPr>
                <w:rFonts w:ascii="Arial" w:hAnsi="Arial"/>
                <w:b/>
                <w:lang w:val="en-US"/>
              </w:rPr>
              <w:t>Herwaardeerder</w:t>
            </w:r>
            <w:proofErr w:type="spellEnd"/>
            <w:r w:rsidRPr="00EE451A">
              <w:rPr>
                <w:rFonts w:ascii="Arial" w:hAnsi="Arial"/>
                <w:b/>
                <w:lang w:val="en-US"/>
              </w:rPr>
              <w:t xml:space="preserve"> </w:t>
            </w:r>
            <w:r w:rsidR="001633A8" w:rsidRPr="00EE451A">
              <w:rPr>
                <w:rFonts w:ascii="Arial" w:hAnsi="Arial"/>
                <w:lang w:val="en-US"/>
              </w:rPr>
              <w:t xml:space="preserve">(NL) </w:t>
            </w:r>
            <w:r w:rsidR="001633A8" w:rsidRPr="00EE451A">
              <w:rPr>
                <w:rFonts w:ascii="Arial" w:hAnsi="Arial"/>
                <w:lang w:val="en-US"/>
              </w:rPr>
              <w:br/>
            </w:r>
            <w:proofErr w:type="spellStart"/>
            <w:r>
              <w:rPr>
                <w:rFonts w:ascii="Arial" w:hAnsi="Arial"/>
                <w:b/>
                <w:lang w:val="en-US"/>
              </w:rPr>
              <w:t>V</w:t>
            </w:r>
            <w:r w:rsidRPr="00EE451A">
              <w:rPr>
                <w:rFonts w:ascii="Arial" w:hAnsi="Arial"/>
                <w:b/>
                <w:lang w:val="en-US"/>
              </w:rPr>
              <w:t>erwerter</w:t>
            </w:r>
            <w:proofErr w:type="spellEnd"/>
            <w:r w:rsidRPr="00EE451A">
              <w:rPr>
                <w:rFonts w:ascii="Arial" w:hAnsi="Arial"/>
                <w:b/>
                <w:lang w:val="en-US"/>
              </w:rPr>
              <w:t xml:space="preserve"> </w:t>
            </w:r>
            <w:r w:rsidR="001633A8" w:rsidRPr="00EE451A">
              <w:rPr>
                <w:rFonts w:ascii="Arial" w:hAnsi="Arial"/>
                <w:lang w:val="en-US"/>
              </w:rPr>
              <w:t xml:space="preserve">(DE) </w:t>
            </w:r>
            <w:r w:rsidR="001633A8" w:rsidRPr="00EE451A">
              <w:rPr>
                <w:rFonts w:ascii="Arial" w:hAnsi="Arial"/>
                <w:lang w:val="en-US"/>
              </w:rPr>
              <w:br/>
            </w:r>
            <w:r>
              <w:rPr>
                <w:rFonts w:ascii="Arial" w:hAnsi="Arial"/>
                <w:b/>
                <w:lang w:val="en-US"/>
              </w:rPr>
              <w:t>R</w:t>
            </w:r>
            <w:r w:rsidRPr="00EE451A">
              <w:rPr>
                <w:rFonts w:ascii="Arial" w:hAnsi="Arial"/>
                <w:b/>
                <w:lang w:val="en-US"/>
              </w:rPr>
              <w:t xml:space="preserve">ecycling waste handler </w:t>
            </w:r>
            <w:r w:rsidR="001633A8" w:rsidRPr="00EE451A">
              <w:rPr>
                <w:rFonts w:ascii="Arial" w:hAnsi="Arial"/>
                <w:lang w:val="en-US"/>
              </w:rPr>
              <w:t xml:space="preserve">(EN) </w:t>
            </w:r>
          </w:p>
        </w:tc>
      </w:tr>
      <w:tr w:rsidR="009A6914" w:rsidRPr="004F6B21"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4F6B21" w14:paraId="5F2D79C5" w14:textId="77777777" w:rsidTr="00C42E26">
        <w:trPr>
          <w:trHeight w:val="1301"/>
        </w:trPr>
        <w:tc>
          <w:tcPr>
            <w:tcW w:w="10350" w:type="dxa"/>
          </w:tcPr>
          <w:p w14:paraId="10BF6B94" w14:textId="77777777" w:rsidR="00F70B76"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w:t>
            </w:r>
          </w:p>
          <w:p w14:paraId="160B9CB6" w14:textId="77149933" w:rsidR="00F70B76" w:rsidRDefault="001633A8" w:rsidP="00F70B76">
            <w:pPr>
              <w:spacing w:before="40" w:after="20"/>
              <w:rPr>
                <w:rFonts w:ascii="Arial" w:hAnsi="Arial" w:cs="Arial"/>
                <w:lang w:val="fr-BE"/>
              </w:rPr>
            </w:pPr>
            <w:r>
              <w:rPr>
                <w:rFonts w:ascii="Arial" w:hAnsi="Arial"/>
                <w:lang w:val="fr-FR"/>
              </w:rPr>
              <w:t xml:space="preserve"> </w:t>
            </w:r>
            <w:r w:rsidR="00F70B76">
              <w:rPr>
                <w:rFonts w:ascii="Arial" w:hAnsi="Arial" w:cs="Arial"/>
                <w:b/>
                <w:lang w:val="fr-BE"/>
              </w:rPr>
              <w:t xml:space="preserve">Unités d’acquis d’apprentissage en conformité avec le profil de formation du SFMQ </w:t>
            </w:r>
            <w:r w:rsidR="00F70B76">
              <w:rPr>
                <w:rFonts w:ascii="Arial" w:hAnsi="Arial" w:cs="Arial"/>
                <w:lang w:val="fr-BE"/>
              </w:rPr>
              <w:t>(Service francophone des Métiers et des Qualifications).</w:t>
            </w:r>
          </w:p>
          <w:p w14:paraId="5758BB2B" w14:textId="3D2E61D3" w:rsidR="00EE451A" w:rsidRPr="00EE451A" w:rsidRDefault="00EE451A" w:rsidP="00EE451A">
            <w:pPr>
              <w:numPr>
                <w:ilvl w:val="0"/>
                <w:numId w:val="6"/>
              </w:numPr>
              <w:spacing w:before="40" w:after="20"/>
              <w:rPr>
                <w:rFonts w:ascii="Arial" w:hAnsi="Arial"/>
                <w:lang w:val="fr-BE"/>
              </w:rPr>
            </w:pPr>
            <w:r w:rsidRPr="00EE451A">
              <w:rPr>
                <w:rFonts w:ascii="Arial" w:hAnsi="Arial"/>
                <w:lang w:val="fr-BE"/>
              </w:rPr>
              <w:t xml:space="preserve">UAA1 : Effectuer une collecte </w:t>
            </w:r>
            <w:proofErr w:type="spellStart"/>
            <w:r w:rsidRPr="00EE451A">
              <w:rPr>
                <w:rFonts w:ascii="Arial" w:hAnsi="Arial"/>
                <w:lang w:val="fr-BE"/>
              </w:rPr>
              <w:t>préservante</w:t>
            </w:r>
            <w:proofErr w:type="spellEnd"/>
          </w:p>
          <w:p w14:paraId="021153CA" w14:textId="77777777" w:rsidR="00EE451A" w:rsidRPr="00EE451A" w:rsidRDefault="00EE451A" w:rsidP="00EE451A">
            <w:pPr>
              <w:numPr>
                <w:ilvl w:val="0"/>
                <w:numId w:val="6"/>
              </w:numPr>
              <w:spacing w:before="40" w:after="20"/>
              <w:rPr>
                <w:rFonts w:ascii="Arial" w:hAnsi="Arial"/>
                <w:lang w:val="fr-BE"/>
              </w:rPr>
            </w:pPr>
            <w:r w:rsidRPr="00EE451A">
              <w:rPr>
                <w:rFonts w:ascii="Arial" w:hAnsi="Arial"/>
                <w:lang w:val="fr-BE"/>
              </w:rPr>
              <w:t>UAA2 : Trier et démanteler les biens/ sous-éléments.</w:t>
            </w:r>
          </w:p>
          <w:p w14:paraId="5F2D79C4" w14:textId="297D9235" w:rsidR="009A6914" w:rsidRDefault="00EE451A" w:rsidP="00C42E26">
            <w:pPr>
              <w:numPr>
                <w:ilvl w:val="0"/>
                <w:numId w:val="6"/>
              </w:numPr>
              <w:spacing w:before="40" w:after="20"/>
              <w:rPr>
                <w:rFonts w:ascii="Arial" w:hAnsi="Arial"/>
                <w:sz w:val="18"/>
                <w:lang w:val="fr-FR"/>
              </w:rPr>
            </w:pPr>
            <w:r w:rsidRPr="00EE451A">
              <w:rPr>
                <w:rFonts w:ascii="Arial" w:hAnsi="Arial"/>
                <w:lang w:val="fr-BE"/>
              </w:rPr>
              <w:t xml:space="preserve">UAA3 : Nettoyer et réparer les biens réutilisables/ </w:t>
            </w:r>
            <w:proofErr w:type="spellStart"/>
            <w:r w:rsidRPr="00EE451A">
              <w:rPr>
                <w:rFonts w:ascii="Arial" w:hAnsi="Arial"/>
                <w:lang w:val="fr-BE"/>
              </w:rPr>
              <w:t>réemployables</w:t>
            </w:r>
            <w:proofErr w:type="spellEnd"/>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4F6B21"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4F6B21" w14:paraId="5F2D79CC" w14:textId="77777777">
        <w:trPr>
          <w:trHeight w:val="939"/>
        </w:trPr>
        <w:tc>
          <w:tcPr>
            <w:tcW w:w="10350" w:type="dxa"/>
          </w:tcPr>
          <w:p w14:paraId="1466FB64" w14:textId="70B9229D" w:rsidR="00EE451A" w:rsidRPr="00EE451A" w:rsidRDefault="00EE451A" w:rsidP="00EE451A">
            <w:pPr>
              <w:autoSpaceDE w:val="0"/>
              <w:autoSpaceDN w:val="0"/>
              <w:adjustRightInd w:val="0"/>
              <w:spacing w:before="60"/>
              <w:rPr>
                <w:rFonts w:ascii="Arial" w:hAnsi="Arial" w:cs="Arial"/>
                <w:lang w:val="fr-BE"/>
              </w:rPr>
            </w:pPr>
            <w:r>
              <w:rPr>
                <w:rFonts w:ascii="Arial" w:hAnsi="Arial" w:cs="Arial"/>
                <w:lang w:val="fr-BE"/>
              </w:rPr>
              <w:t>L</w:t>
            </w:r>
            <w:r w:rsidRPr="00EE451A">
              <w:rPr>
                <w:rFonts w:ascii="Arial" w:hAnsi="Arial" w:cs="Arial"/>
                <w:lang w:val="fr-BE"/>
              </w:rPr>
              <w:t>e métier de valoriste généraliste est référencé dans la fiche métier K2304 - Revalorisation de produits industriels - du Répertoire Opérationnel des Métiers et des Emplois (www.pole-emploi.fr).</w:t>
            </w:r>
          </w:p>
          <w:p w14:paraId="4DC6E83F"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La nomenclature et la codification du ROME sont utilisées par les différents services publics de l’emploi en Belgique.</w:t>
            </w:r>
          </w:p>
          <w:p w14:paraId="62C88636" w14:textId="0971CE82"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Le/la valoriste généraliste réalise les travaux suivants</w:t>
            </w:r>
            <w:r>
              <w:rPr>
                <w:rFonts w:ascii="Arial" w:hAnsi="Arial" w:cs="Arial"/>
                <w:lang w:val="fr-BE"/>
              </w:rPr>
              <w:t xml:space="preserve"> </w:t>
            </w:r>
            <w:r w:rsidRPr="00EE451A">
              <w:rPr>
                <w:rFonts w:ascii="Arial" w:hAnsi="Arial" w:cs="Arial"/>
                <w:lang w:val="fr-BE"/>
              </w:rPr>
              <w:t>:</w:t>
            </w:r>
          </w:p>
          <w:p w14:paraId="41D1B0D7"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xml:space="preserve">• effectuer une collecte </w:t>
            </w:r>
            <w:proofErr w:type="spellStart"/>
            <w:r w:rsidRPr="00EE451A">
              <w:rPr>
                <w:rFonts w:ascii="Arial" w:hAnsi="Arial" w:cs="Arial"/>
                <w:lang w:val="fr-BE"/>
              </w:rPr>
              <w:t>préservante</w:t>
            </w:r>
            <w:proofErr w:type="spellEnd"/>
            <w:r w:rsidRPr="00EE451A">
              <w:rPr>
                <w:rFonts w:ascii="Arial" w:hAnsi="Arial" w:cs="Arial"/>
                <w:lang w:val="fr-BE"/>
              </w:rPr>
              <w:t xml:space="preserve"> de biens destinés au réemploi/ à la réutilisation ou au recyclage en fonction des critères de l'entreprise,</w:t>
            </w:r>
          </w:p>
          <w:p w14:paraId="2479FF2D"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trier les biens/ sous-éléments selon les modes de traitement et les filières adéquats,</w:t>
            </w:r>
          </w:p>
          <w:p w14:paraId="773F175E"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xml:space="preserve">• assurer nettoyage et la réparation superficielle des biens réutilisables/ </w:t>
            </w:r>
            <w:proofErr w:type="spellStart"/>
            <w:r w:rsidRPr="00EE451A">
              <w:rPr>
                <w:rFonts w:ascii="Arial" w:hAnsi="Arial" w:cs="Arial"/>
                <w:lang w:val="fr-BE"/>
              </w:rPr>
              <w:t>réemployables</w:t>
            </w:r>
            <w:proofErr w:type="spellEnd"/>
            <w:r w:rsidRPr="00EE451A">
              <w:rPr>
                <w:rFonts w:ascii="Arial" w:hAnsi="Arial" w:cs="Arial"/>
                <w:lang w:val="fr-BE"/>
              </w:rPr>
              <w:t>,</w:t>
            </w:r>
          </w:p>
          <w:p w14:paraId="4A706FED" w14:textId="77777777" w:rsidR="00EE451A" w:rsidRPr="00EE451A" w:rsidRDefault="00EE451A" w:rsidP="00EE451A">
            <w:pPr>
              <w:autoSpaceDE w:val="0"/>
              <w:autoSpaceDN w:val="0"/>
              <w:adjustRightInd w:val="0"/>
              <w:spacing w:before="60"/>
              <w:rPr>
                <w:rFonts w:ascii="Arial" w:hAnsi="Arial" w:cs="Arial"/>
                <w:lang w:val="fr-BE"/>
              </w:rPr>
            </w:pPr>
            <w:r w:rsidRPr="00EE451A">
              <w:rPr>
                <w:rFonts w:ascii="Arial" w:hAnsi="Arial" w:cs="Arial"/>
                <w:lang w:val="fr-BE"/>
              </w:rPr>
              <w:t>• démanteler le bien,</w:t>
            </w:r>
          </w:p>
          <w:p w14:paraId="5F2D79CB" w14:textId="5682BDD3" w:rsidR="009A6914" w:rsidRDefault="00EE451A" w:rsidP="00EE451A">
            <w:pPr>
              <w:spacing w:before="40" w:after="20"/>
              <w:rPr>
                <w:rFonts w:ascii="Arial" w:hAnsi="Arial"/>
                <w:lang w:val="fr-FR"/>
              </w:rPr>
            </w:pPr>
            <w:r w:rsidRPr="00EE451A">
              <w:rPr>
                <w:rFonts w:ascii="Arial" w:hAnsi="Arial" w:cs="Arial"/>
                <w:lang w:val="fr-BE"/>
              </w:rPr>
              <w:t>• communiquer avec les usagers/ l'équipe.</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5472"/>
        <w:gridCol w:w="4868"/>
        <w:gridCol w:w="10"/>
      </w:tblGrid>
      <w:tr w:rsidR="009A6914" w14:paraId="5F2D79D4" w14:textId="77777777" w:rsidTr="007D6B97">
        <w:trPr>
          <w:gridAfter w:val="1"/>
          <w:wAfter w:w="10" w:type="dxa"/>
        </w:trPr>
        <w:tc>
          <w:tcPr>
            <w:tcW w:w="10350" w:type="dxa"/>
            <w:gridSpan w:val="3"/>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r w:rsidR="009A6914" w14:paraId="5F2D79D8" w14:textId="77777777" w:rsidTr="007D6B97">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194"/>
        </w:trPr>
        <w:tc>
          <w:tcPr>
            <w:tcW w:w="10350" w:type="dxa"/>
            <w:gridSpan w:val="3"/>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lastRenderedPageBreak/>
              <w:t>5. Base officielle du certificat</w:t>
            </w:r>
          </w:p>
        </w:tc>
      </w:tr>
      <w:tr w:rsidR="009A6914" w:rsidRPr="004F6B21" w14:paraId="5F2D79E4" w14:textId="77777777" w:rsidTr="007D6B97">
        <w:tblPrEx>
          <w:tblBorders>
            <w:top w:val="double" w:sz="4" w:space="0" w:color="auto"/>
            <w:left w:val="double" w:sz="4" w:space="0" w:color="auto"/>
            <w:bottom w:val="double" w:sz="4" w:space="0" w:color="auto"/>
            <w:right w:val="double" w:sz="4" w:space="0" w:color="auto"/>
          </w:tblBorders>
        </w:tblPrEx>
        <w:trPr>
          <w:gridBefore w:val="1"/>
          <w:wBefore w:w="10" w:type="dxa"/>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gridSpan w:val="2"/>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653BFF42" w14:textId="77777777" w:rsidR="009A6914" w:rsidRDefault="007D6B97" w:rsidP="003B5D5B">
            <w:pPr>
              <w:rPr>
                <w:rStyle w:val="Lienhypertexte"/>
                <w:rFonts w:ascii="Arial" w:hAnsi="Arial" w:cs="Arial"/>
                <w:lang w:val="fr-BE"/>
              </w:rPr>
            </w:pPr>
            <w:hyperlink r:id="rId15" w:history="1">
              <w:r w:rsidR="003B5D5B" w:rsidRPr="00C01BF3">
                <w:rPr>
                  <w:rStyle w:val="Lienhypertexte"/>
                  <w:rFonts w:ascii="Arial" w:hAnsi="Arial" w:cs="Arial"/>
                  <w:lang w:val="fr-BE"/>
                </w:rPr>
                <w:t>http://www.federation-wallonie-bruxelles.be/</w:t>
              </w:r>
            </w:hyperlink>
          </w:p>
          <w:p w14:paraId="5F2D79E3" w14:textId="3D82FD4B" w:rsidR="00C42E26" w:rsidRDefault="00C42E26" w:rsidP="003B5D5B">
            <w:pPr>
              <w:rPr>
                <w:rFonts w:ascii="Arial" w:hAnsi="Arial"/>
                <w:sz w:val="18"/>
                <w:lang w:val="fr-FR"/>
              </w:rPr>
            </w:pPr>
          </w:p>
        </w:tc>
      </w:tr>
      <w:tr w:rsidR="009A6914" w:rsidRPr="004F6B21" w14:paraId="5F2D79EB" w14:textId="77777777" w:rsidTr="007D6B97">
        <w:tblPrEx>
          <w:tblBorders>
            <w:top w:val="double" w:sz="4" w:space="0" w:color="auto"/>
            <w:left w:val="double" w:sz="4" w:space="0" w:color="auto"/>
            <w:bottom w:val="double" w:sz="4" w:space="0" w:color="auto"/>
            <w:right w:val="double" w:sz="4" w:space="0" w:color="auto"/>
          </w:tblBorders>
        </w:tblPrEx>
        <w:trPr>
          <w:gridBefore w:val="1"/>
          <w:wBefore w:w="10" w:type="dxa"/>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36F9A2B0" w:rsidR="009A6914" w:rsidRDefault="001633A8">
            <w:pPr>
              <w:spacing w:before="40" w:after="40"/>
              <w:rPr>
                <w:rFonts w:ascii="Arial" w:hAnsi="Arial"/>
                <w:lang w:val="fr-FR"/>
              </w:rPr>
            </w:pPr>
            <w:r>
              <w:rPr>
                <w:rFonts w:ascii="Arial" w:hAnsi="Arial" w:cs="Arial"/>
                <w:lang w:val="fr-FR"/>
              </w:rPr>
              <w:t xml:space="preserve">Niveau </w:t>
            </w:r>
            <w:r w:rsidR="003C0404">
              <w:rPr>
                <w:rFonts w:ascii="Arial" w:hAnsi="Arial" w:cs="Arial"/>
                <w:lang w:val="fr-FR"/>
              </w:rPr>
              <w:t>2</w:t>
            </w:r>
            <w:r>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gridSpan w:val="2"/>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93EB028"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74F8E6CA" w14:textId="7C62E339" w:rsidR="004F6B21" w:rsidRDefault="004F6B21">
            <w:pPr>
              <w:spacing w:before="40" w:after="40"/>
              <w:rPr>
                <w:rFonts w:ascii="Arial" w:hAnsi="Arial"/>
                <w:lang w:val="fr-FR"/>
              </w:rPr>
            </w:pPr>
            <w:r w:rsidRPr="008D74BC">
              <w:rPr>
                <w:rFonts w:ascii="Arial" w:hAnsi="Arial"/>
                <w:lang w:val="fr-FR"/>
              </w:rPr>
              <w:t>Le certificat de qualification est délivré aux élèves qui maîtrisent les acquis d'apprentissage fixés par le profil de certification d</w:t>
            </w:r>
            <w:r>
              <w:rPr>
                <w:rFonts w:ascii="Arial" w:hAnsi="Arial"/>
                <w:lang w:val="fr-FR"/>
              </w:rPr>
              <w:t>u « Valoriste généraliste ».</w:t>
            </w:r>
          </w:p>
          <w:p w14:paraId="5F2D79EA" w14:textId="4BF5DFFB" w:rsidR="003B5D5B" w:rsidRDefault="00F70B76" w:rsidP="00F70B76">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9A6914" w14:paraId="5F2D79F0" w14:textId="77777777" w:rsidTr="007D6B97">
        <w:tblPrEx>
          <w:tblBorders>
            <w:top w:val="double" w:sz="4" w:space="0" w:color="auto"/>
            <w:left w:val="double" w:sz="4" w:space="0" w:color="auto"/>
            <w:bottom w:val="double" w:sz="4" w:space="0" w:color="auto"/>
            <w:right w:val="double" w:sz="4" w:space="0" w:color="auto"/>
          </w:tblBorders>
        </w:tblPrEx>
        <w:trPr>
          <w:gridBefore w:val="1"/>
          <w:wBefore w:w="10" w:type="dxa"/>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gridSpan w:val="2"/>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4F6B21" w14:paraId="5F2D79F6" w14:textId="77777777" w:rsidTr="007D6B97">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620"/>
        </w:trPr>
        <w:tc>
          <w:tcPr>
            <w:tcW w:w="10350" w:type="dxa"/>
            <w:gridSpan w:val="3"/>
          </w:tcPr>
          <w:p w14:paraId="5F2D79F1" w14:textId="77777777" w:rsidR="009A6914" w:rsidRDefault="001633A8">
            <w:pPr>
              <w:spacing w:before="40" w:after="40"/>
              <w:rPr>
                <w:rFonts w:ascii="Arial" w:hAnsi="Arial"/>
                <w:b/>
                <w:lang w:val="fr-FR"/>
              </w:rPr>
            </w:pPr>
            <w:r>
              <w:rPr>
                <w:rFonts w:ascii="Arial" w:hAnsi="Arial"/>
                <w:b/>
                <w:lang w:val="fr-FR"/>
              </w:rPr>
              <w:t>Base légale</w:t>
            </w:r>
          </w:p>
          <w:p w14:paraId="5F2D79F2" w14:textId="77777777" w:rsidR="009A6914" w:rsidRDefault="009A6914">
            <w:pPr>
              <w:spacing w:before="40" w:after="40"/>
              <w:rPr>
                <w:rFonts w:ascii="Arial" w:hAnsi="Arial"/>
                <w:lang w:val="fr-FR"/>
              </w:rPr>
            </w:pPr>
          </w:p>
          <w:p w14:paraId="6A6AFACC" w14:textId="77777777"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l'enseignement secondaire (article 26).</w:t>
            </w:r>
          </w:p>
          <w:p w14:paraId="252443A5" w14:textId="6C9FA482" w:rsidR="003C665A" w:rsidRDefault="003C665A" w:rsidP="003C665A">
            <w:pPr>
              <w:pStyle w:val="Default"/>
              <w:numPr>
                <w:ilvl w:val="0"/>
                <w:numId w:val="13"/>
              </w:numPr>
              <w:rPr>
                <w:color w:val="auto"/>
                <w:sz w:val="20"/>
                <w:szCs w:val="20"/>
              </w:rPr>
            </w:pPr>
            <w:r w:rsidRPr="00C3768B">
              <w:rPr>
                <w:color w:val="auto"/>
                <w:sz w:val="20"/>
                <w:szCs w:val="20"/>
              </w:rPr>
              <w:t xml:space="preserve">Décret du 03 juillet 1991 organisant l’enseignement secondaire en alternance (article 2bis) </w:t>
            </w:r>
          </w:p>
          <w:p w14:paraId="4A135B39" w14:textId="77777777" w:rsidR="00EE451A" w:rsidRPr="00D60F9A" w:rsidRDefault="00EE451A" w:rsidP="00EE451A">
            <w:pPr>
              <w:pStyle w:val="Default"/>
              <w:numPr>
                <w:ilvl w:val="0"/>
                <w:numId w:val="13"/>
              </w:numPr>
              <w:jc w:val="both"/>
              <w:rPr>
                <w:color w:val="auto"/>
                <w:sz w:val="20"/>
                <w:szCs w:val="20"/>
              </w:rPr>
            </w:pPr>
            <w:r w:rsidRPr="00D60F9A">
              <w:rPr>
                <w:color w:val="auto"/>
                <w:sz w:val="20"/>
                <w:szCs w:val="20"/>
              </w:rPr>
              <w:t>Décret du 03 mars 2004 organisant l'enseignement spécialisé (article 3)</w:t>
            </w:r>
          </w:p>
          <w:p w14:paraId="7B43DB1E" w14:textId="5C6C80F1" w:rsidR="003C665A" w:rsidRPr="00EE451A" w:rsidRDefault="003C665A" w:rsidP="003C665A">
            <w:pPr>
              <w:pStyle w:val="Default"/>
              <w:numPr>
                <w:ilvl w:val="0"/>
                <w:numId w:val="13"/>
              </w:numPr>
              <w:rPr>
                <w:color w:val="auto"/>
                <w:sz w:val="20"/>
                <w:szCs w:val="20"/>
              </w:rPr>
            </w:pPr>
            <w:r w:rsidRPr="00EE451A">
              <w:rPr>
                <w:color w:val="auto"/>
                <w:sz w:val="20"/>
                <w:szCs w:val="20"/>
              </w:rPr>
              <w:t xml:space="preserve">Arrêté du Gouvernement de la Communauté française du 27 juin 2018 définissant le profil de formation </w:t>
            </w:r>
            <w:r w:rsidR="00EE451A" w:rsidRPr="00EE451A">
              <w:rPr>
                <w:color w:val="auto"/>
                <w:sz w:val="20"/>
                <w:szCs w:val="20"/>
              </w:rPr>
              <w:t>du « Valoriste généraliste »</w:t>
            </w:r>
          </w:p>
          <w:p w14:paraId="5F2D79F4" w14:textId="7655FE88" w:rsidR="009A6914" w:rsidRPr="00EE451A" w:rsidRDefault="003C665A" w:rsidP="00EE451A">
            <w:pPr>
              <w:pStyle w:val="Default"/>
              <w:numPr>
                <w:ilvl w:val="0"/>
                <w:numId w:val="13"/>
              </w:numPr>
              <w:spacing w:before="40" w:after="40"/>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4F6B21" w14:paraId="5F2D79F9" w14:textId="77777777" w:rsidTr="00E84D20">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4F6B21" w14:paraId="5F2D79FB" w14:textId="77777777" w:rsidTr="00E84D20">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4F6B21" w14:paraId="5F2D79FF" w14:textId="77777777" w:rsidTr="00E84D20">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4F6B21" w:rsidRPr="004F6B21" w14:paraId="5F2D7A03" w14:textId="77777777" w:rsidTr="00E84D20">
        <w:trPr>
          <w:cantSplit/>
          <w:trHeight w:val="323"/>
        </w:trPr>
        <w:tc>
          <w:tcPr>
            <w:tcW w:w="3552" w:type="dxa"/>
            <w:tcBorders>
              <w:top w:val="nil"/>
              <w:bottom w:val="dotted" w:sz="4" w:space="0" w:color="auto"/>
              <w:right w:val="dotted" w:sz="4" w:space="0" w:color="auto"/>
            </w:tcBorders>
          </w:tcPr>
          <w:p w14:paraId="5F2D7A00" w14:textId="7189EADB" w:rsidR="004F6B21" w:rsidRDefault="004F6B21" w:rsidP="004F6B21">
            <w:pPr>
              <w:spacing w:before="20" w:after="20"/>
              <w:jc w:val="center"/>
              <w:rPr>
                <w:rFonts w:ascii="Arial" w:hAnsi="Arial"/>
                <w:lang w:val="fr-FR"/>
              </w:rPr>
            </w:pPr>
            <w:r w:rsidRPr="00205CC9">
              <w:rPr>
                <w:rFonts w:ascii="Arial" w:hAnsi="Arial" w:cs="Arial"/>
                <w:sz w:val="22"/>
                <w:szCs w:val="22"/>
                <w:lang w:val="fr-BE"/>
              </w:rPr>
              <w:t xml:space="preserve">Enseignement secondaire </w:t>
            </w:r>
            <w:r>
              <w:rPr>
                <w:rFonts w:ascii="Arial" w:hAnsi="Arial" w:cs="Arial"/>
                <w:sz w:val="22"/>
                <w:szCs w:val="22"/>
                <w:lang w:val="fr-BE"/>
              </w:rPr>
              <w:t xml:space="preserve">ordinaire </w:t>
            </w:r>
            <w:r w:rsidRPr="00205CC9">
              <w:rPr>
                <w:rFonts w:ascii="Arial" w:hAnsi="Arial" w:cs="Arial"/>
                <w:sz w:val="22"/>
                <w:szCs w:val="22"/>
                <w:lang w:val="fr-BE"/>
              </w:rPr>
              <w:t>en alternance</w:t>
            </w:r>
            <w:r>
              <w:rPr>
                <w:rFonts w:ascii="Arial" w:hAnsi="Arial" w:cs="Arial"/>
                <w:sz w:val="22"/>
                <w:szCs w:val="22"/>
                <w:lang w:val="fr-BE"/>
              </w:rPr>
              <w:t xml:space="preserve"> (art. 45)</w:t>
            </w:r>
          </w:p>
        </w:tc>
        <w:tc>
          <w:tcPr>
            <w:tcW w:w="3480" w:type="dxa"/>
            <w:tcBorders>
              <w:top w:val="nil"/>
              <w:left w:val="dotted" w:sz="4" w:space="0" w:color="auto"/>
              <w:bottom w:val="dotted" w:sz="4" w:space="0" w:color="auto"/>
              <w:right w:val="dotted" w:sz="4" w:space="0" w:color="auto"/>
            </w:tcBorders>
          </w:tcPr>
          <w:p w14:paraId="5303CE84" w14:textId="77777777" w:rsidR="004F6B21" w:rsidRDefault="004F6B21" w:rsidP="004F6B21">
            <w:pPr>
              <w:spacing w:before="20" w:after="20"/>
              <w:jc w:val="center"/>
              <w:rPr>
                <w:rFonts w:ascii="Arial" w:hAnsi="Arial"/>
                <w:lang w:val="fr-FR"/>
              </w:rPr>
            </w:pPr>
            <w:r>
              <w:rPr>
                <w:rFonts w:ascii="Arial" w:hAnsi="Arial"/>
                <w:lang w:val="fr-FR"/>
              </w:rPr>
              <w:t>40 % en école</w:t>
            </w:r>
          </w:p>
          <w:p w14:paraId="5F2D7A01" w14:textId="54167AA3" w:rsidR="004F6B21" w:rsidRDefault="004F6B21" w:rsidP="004F6B21">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5F2D7A02" w14:textId="19BD9688" w:rsidR="004F6B21" w:rsidRDefault="004F6B21" w:rsidP="004F6B21">
            <w:pPr>
              <w:spacing w:before="20" w:after="20"/>
              <w:jc w:val="center"/>
              <w:rPr>
                <w:rFonts w:ascii="Arial" w:hAnsi="Arial"/>
                <w:lang w:val="fr-FR"/>
              </w:rPr>
            </w:pPr>
            <w:r>
              <w:rPr>
                <w:rFonts w:ascii="Arial" w:hAnsi="Arial"/>
                <w:lang w:val="fr-FR"/>
              </w:rPr>
              <w:t>1 an (à titre indicatif)</w:t>
            </w:r>
          </w:p>
        </w:tc>
      </w:tr>
      <w:tr w:rsidR="004F6B21" w14:paraId="5F2D7A0E" w14:textId="77777777" w:rsidTr="00E84D20">
        <w:trPr>
          <w:cantSplit/>
          <w:trHeight w:val="320"/>
        </w:trPr>
        <w:tc>
          <w:tcPr>
            <w:tcW w:w="7032" w:type="dxa"/>
            <w:gridSpan w:val="2"/>
            <w:tcBorders>
              <w:top w:val="single" w:sz="4" w:space="0" w:color="auto"/>
              <w:bottom w:val="nil"/>
            </w:tcBorders>
          </w:tcPr>
          <w:p w14:paraId="5F2D7A0C" w14:textId="77777777" w:rsidR="004F6B21" w:rsidRDefault="004F6B21" w:rsidP="004F6B21">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1752FB00" w:rsidR="004F6B21" w:rsidRDefault="004F6B21" w:rsidP="004F6B21">
            <w:pPr>
              <w:spacing w:before="20" w:after="20"/>
              <w:jc w:val="center"/>
              <w:rPr>
                <w:rFonts w:ascii="Arial" w:hAnsi="Arial"/>
                <w:lang w:val="fr-FR"/>
              </w:rPr>
            </w:pPr>
            <w:r>
              <w:rPr>
                <w:rFonts w:ascii="Arial" w:hAnsi="Arial"/>
                <w:lang w:val="fr-FR"/>
              </w:rPr>
              <w:t>1 an (à titre indicatif)</w:t>
            </w:r>
          </w:p>
        </w:tc>
      </w:tr>
      <w:tr w:rsidR="004F6B21" w:rsidRPr="004F6B21" w14:paraId="5F2D7A17" w14:textId="77777777" w:rsidTr="00E84D20">
        <w:trPr>
          <w:trHeight w:val="3515"/>
        </w:trPr>
        <w:tc>
          <w:tcPr>
            <w:tcW w:w="10350" w:type="dxa"/>
            <w:gridSpan w:val="3"/>
            <w:tcBorders>
              <w:top w:val="nil"/>
            </w:tcBorders>
          </w:tcPr>
          <w:p w14:paraId="5F2D7A10" w14:textId="77777777" w:rsidR="004F6B21" w:rsidRDefault="004F6B21" w:rsidP="004F6B21">
            <w:pPr>
              <w:spacing w:before="40" w:after="40"/>
              <w:rPr>
                <w:rFonts w:ascii="Arial" w:hAnsi="Arial"/>
                <w:b/>
                <w:lang w:val="fr-FR"/>
              </w:rPr>
            </w:pPr>
            <w:r>
              <w:rPr>
                <w:rFonts w:ascii="Arial" w:hAnsi="Arial"/>
                <w:b/>
                <w:lang w:val="fr-FR"/>
              </w:rPr>
              <w:lastRenderedPageBreak/>
              <w:t>Niveau d’entrée requis</w:t>
            </w:r>
          </w:p>
          <w:p w14:paraId="7ACF6D84" w14:textId="77777777" w:rsidR="004F6B21" w:rsidRPr="00E410A1" w:rsidRDefault="004F6B21" w:rsidP="004F6B21">
            <w:pPr>
              <w:spacing w:before="40" w:after="40"/>
              <w:jc w:val="both"/>
              <w:rPr>
                <w:rFonts w:ascii="Arial" w:hAnsi="Arial" w:cs="Arial"/>
                <w:lang w:val="fr-BE"/>
              </w:rPr>
            </w:pPr>
          </w:p>
          <w:p w14:paraId="02A9522D" w14:textId="77777777" w:rsidR="004F6B21" w:rsidRPr="0043561E" w:rsidRDefault="004F6B21" w:rsidP="004F6B21">
            <w:pPr>
              <w:pStyle w:val="Paragraphedeliste"/>
              <w:numPr>
                <w:ilvl w:val="0"/>
                <w:numId w:val="16"/>
              </w:numPr>
              <w:spacing w:before="40" w:after="40"/>
              <w:jc w:val="both"/>
              <w:rPr>
                <w:rFonts w:ascii="Arial" w:hAnsi="Arial" w:cs="Arial"/>
                <w:b/>
                <w:bCs/>
                <w:u w:val="single"/>
              </w:rPr>
            </w:pPr>
            <w:r w:rsidRPr="0043561E">
              <w:rPr>
                <w:rFonts w:ascii="Arial" w:hAnsi="Arial" w:cs="Arial"/>
                <w:b/>
                <w:bCs/>
                <w:u w:val="single"/>
              </w:rPr>
              <w:t>Pour l’enseignement en alternance</w:t>
            </w:r>
          </w:p>
          <w:p w14:paraId="34C22725" w14:textId="77777777" w:rsidR="004F6B21" w:rsidRPr="00E410A1" w:rsidRDefault="004F6B21" w:rsidP="004F6B21">
            <w:pPr>
              <w:pStyle w:val="TableParagraph"/>
              <w:ind w:left="-10" w:right="54"/>
              <w:rPr>
                <w:rFonts w:ascii="Arial" w:hAnsi="Arial" w:cs="Arial"/>
                <w:sz w:val="20"/>
                <w:szCs w:val="20"/>
              </w:rPr>
            </w:pPr>
            <w:r w:rsidRPr="00E410A1">
              <w:rPr>
                <w:rFonts w:ascii="Arial" w:hAnsi="Arial" w:cs="Arial"/>
                <w:sz w:val="20"/>
                <w:szCs w:val="20"/>
              </w:rPr>
              <w:t xml:space="preserve">Peuvent être admis dans l'enseignement secondaire en alternance, </w:t>
            </w:r>
            <w:r w:rsidRPr="00E410A1">
              <w:rPr>
                <w:rFonts w:ascii="Arial" w:hAnsi="Arial" w:cs="Arial"/>
                <w:b/>
                <w:bCs/>
                <w:sz w:val="20"/>
                <w:szCs w:val="20"/>
              </w:rPr>
              <w:t>au deuxième degré</w:t>
            </w:r>
            <w:r w:rsidRPr="00E410A1">
              <w:rPr>
                <w:rFonts w:ascii="Arial" w:hAnsi="Arial" w:cs="Arial"/>
                <w:sz w:val="20"/>
                <w:szCs w:val="20"/>
              </w:rPr>
              <w:t>, en application du Décret du 3 juillet 1991 organisant l’enseignement secondaire en alternance, articles 6 et 8 §2 :</w:t>
            </w:r>
          </w:p>
          <w:p w14:paraId="17648306" w14:textId="77777777" w:rsidR="004F6B21" w:rsidRDefault="004F6B21" w:rsidP="004F6B21">
            <w:pPr>
              <w:pStyle w:val="TableParagraph"/>
              <w:ind w:left="0" w:right="54" w:hanging="10"/>
              <w:rPr>
                <w:rFonts w:ascii="Arial" w:hAnsi="Arial" w:cs="Arial"/>
                <w:sz w:val="20"/>
                <w:szCs w:val="20"/>
              </w:rPr>
            </w:pPr>
          </w:p>
          <w:p w14:paraId="060339BA" w14:textId="77777777" w:rsidR="004F6B21" w:rsidRPr="00E410A1" w:rsidRDefault="004F6B21" w:rsidP="004F6B21">
            <w:pPr>
              <w:pStyle w:val="TableParagraph"/>
              <w:ind w:left="0" w:right="54" w:hanging="10"/>
              <w:rPr>
                <w:rFonts w:ascii="Arial" w:hAnsi="Arial" w:cs="Arial"/>
                <w:sz w:val="20"/>
                <w:szCs w:val="20"/>
              </w:rPr>
            </w:pPr>
            <w:r w:rsidRPr="00E410A1">
              <w:rPr>
                <w:rFonts w:ascii="Arial" w:hAnsi="Arial" w:cs="Arial"/>
                <w:sz w:val="20"/>
                <w:szCs w:val="20"/>
              </w:rPr>
              <w:t>1° les jeunes soumis à l'obligation scolaire à temps partiel. Ils y gardent la qualité d'élèves réguliers s'ils effectuent les stages qui leur sont proposés par le centre d'éducation et de formation en alternance, conformément à l'article 3, §§ 2 et 3, et à l'article 15, § 1er, alinéas 2 et 3 ;</w:t>
            </w:r>
          </w:p>
          <w:p w14:paraId="44CA3F0E" w14:textId="77777777" w:rsidR="004F6B21" w:rsidRDefault="004F6B21" w:rsidP="004F6B21">
            <w:pPr>
              <w:pStyle w:val="TableParagraph"/>
              <w:ind w:right="638"/>
              <w:rPr>
                <w:rFonts w:ascii="Arial" w:hAnsi="Arial" w:cs="Arial"/>
                <w:sz w:val="20"/>
                <w:szCs w:val="20"/>
              </w:rPr>
            </w:pPr>
          </w:p>
          <w:p w14:paraId="1DE1D58D" w14:textId="77777777" w:rsidR="004F6B21" w:rsidRPr="00E410A1" w:rsidRDefault="004F6B21" w:rsidP="004F6B21">
            <w:pPr>
              <w:pStyle w:val="TableParagraph"/>
              <w:ind w:left="0" w:right="638"/>
              <w:rPr>
                <w:rFonts w:ascii="Arial" w:hAnsi="Arial" w:cs="Arial"/>
                <w:sz w:val="20"/>
                <w:szCs w:val="20"/>
              </w:rPr>
            </w:pPr>
            <w:r w:rsidRPr="00E410A1">
              <w:rPr>
                <w:rFonts w:ascii="Arial" w:hAnsi="Arial" w:cs="Arial"/>
                <w:sz w:val="20"/>
                <w:szCs w:val="20"/>
              </w:rPr>
              <w:t>2° les jeunes âgés de plus de 18 ans et de moins de 21 ans au 31 décembre sous réserve d'avoir conclu soit :</w:t>
            </w:r>
          </w:p>
          <w:p w14:paraId="7BCA576A"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 contrat d’alternance; </w:t>
            </w:r>
          </w:p>
          <w:p w14:paraId="1C886B81"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38910037"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une convention emploi formation; </w:t>
            </w:r>
          </w:p>
          <w:p w14:paraId="2DC21B58"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0A9FBEE3" w14:textId="77777777" w:rsidR="004F6B21" w:rsidRPr="00E410A1" w:rsidRDefault="004F6B21" w:rsidP="004F6B21">
            <w:pPr>
              <w:rPr>
                <w:rFonts w:ascii="Arial" w:hAnsi="Arial" w:cs="Arial"/>
                <w:lang w:val="fr-BE"/>
              </w:rPr>
            </w:pPr>
          </w:p>
          <w:p w14:paraId="2D6ABB9F" w14:textId="77777777" w:rsidR="004F6B21" w:rsidRPr="00E410A1" w:rsidRDefault="004F6B21" w:rsidP="004F6B21">
            <w:pPr>
              <w:pStyle w:val="TableParagraph"/>
              <w:ind w:left="0" w:right="292"/>
              <w:rPr>
                <w:rFonts w:ascii="Arial" w:hAnsi="Arial" w:cs="Arial"/>
                <w:sz w:val="20"/>
                <w:szCs w:val="20"/>
              </w:rPr>
            </w:pPr>
            <w:r w:rsidRPr="00E410A1">
              <w:rPr>
                <w:rFonts w:ascii="Arial" w:hAnsi="Arial" w:cs="Arial"/>
                <w:sz w:val="20"/>
                <w:szCs w:val="20"/>
              </w:rPr>
              <w:t>3° les jeunes âgés de plus de 21 ans et de moins de 25 ans au 31 décembre, bénéficiant de l'enseignement secondaire en alternance depuis le 1er octobre de l'année où ils atteignent l'âge de 21 ans, sous réserve d'avoir conclu soit :</w:t>
            </w:r>
          </w:p>
          <w:p w14:paraId="72AC7C3B"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 contrat d’alternance ; </w:t>
            </w:r>
          </w:p>
          <w:p w14:paraId="5E26C97C"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110C832D"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281102C2" w14:textId="77777777" w:rsidR="004F6B21" w:rsidRPr="00E410A1" w:rsidRDefault="004F6B21" w:rsidP="004F6B21">
            <w:pPr>
              <w:pStyle w:val="TableParagraph"/>
              <w:numPr>
                <w:ilvl w:val="0"/>
                <w:numId w:val="14"/>
              </w:numPr>
              <w:rPr>
                <w:rFonts w:ascii="Arial" w:hAnsi="Arial" w:cs="Arial"/>
                <w:sz w:val="20"/>
                <w:szCs w:val="20"/>
              </w:rPr>
            </w:pPr>
            <w:r w:rsidRPr="00E410A1">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2FA382CD" w14:textId="77777777" w:rsidR="004F6B21" w:rsidRPr="00E410A1" w:rsidRDefault="004F6B21" w:rsidP="004F6B21">
            <w:pPr>
              <w:pStyle w:val="TableParagraph"/>
              <w:ind w:left="0" w:right="1258"/>
              <w:rPr>
                <w:rFonts w:ascii="Arial" w:hAnsi="Arial" w:cs="Arial"/>
                <w:sz w:val="20"/>
                <w:szCs w:val="20"/>
              </w:rPr>
            </w:pPr>
            <w:r w:rsidRPr="00E410A1">
              <w:rPr>
                <w:rFonts w:ascii="Arial" w:hAnsi="Arial" w:cs="Arial"/>
                <w:sz w:val="20"/>
                <w:szCs w:val="20"/>
              </w:rPr>
              <w:t>4° les jeunes âgés de plus de 21 ans et de moins de 25 ans au 31 décembre, inscrits dans l'enseignement de plein exercice, sous réserve d'avoir conclu soit :</w:t>
            </w:r>
          </w:p>
          <w:p w14:paraId="2EDDC066"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un contrat d’alternance ;</w:t>
            </w:r>
          </w:p>
          <w:p w14:paraId="0C2ADF4D"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 contrat d’apprentissage de professions exercées par des travailleurs salariés; </w:t>
            </w:r>
          </w:p>
          <w:p w14:paraId="63C54312"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une convention de premier emploi de </w:t>
            </w:r>
            <w:proofErr w:type="gramStart"/>
            <w:r w:rsidRPr="00E410A1">
              <w:rPr>
                <w:rFonts w:ascii="Arial" w:hAnsi="Arial" w:cs="Arial"/>
                <w:sz w:val="20"/>
                <w:szCs w:val="20"/>
              </w:rPr>
              <w:t>type</w:t>
            </w:r>
            <w:proofErr w:type="gramEnd"/>
            <w:r w:rsidRPr="00E410A1">
              <w:rPr>
                <w:rFonts w:ascii="Arial" w:hAnsi="Arial" w:cs="Arial"/>
                <w:sz w:val="20"/>
                <w:szCs w:val="20"/>
              </w:rPr>
              <w:t xml:space="preserve"> 2 ou 3 liée à un contrat de travail (CDD, CDI) ; </w:t>
            </w:r>
          </w:p>
          <w:p w14:paraId="21AAE8ED" w14:textId="77777777" w:rsidR="004F6B21" w:rsidRPr="00E410A1" w:rsidRDefault="004F6B21" w:rsidP="004F6B21">
            <w:pPr>
              <w:pStyle w:val="Paragraphedeliste"/>
              <w:numPr>
                <w:ilvl w:val="0"/>
                <w:numId w:val="14"/>
              </w:numPr>
              <w:rPr>
                <w:rFonts w:ascii="Arial" w:hAnsi="Arial" w:cs="Arial"/>
                <w:sz w:val="20"/>
                <w:szCs w:val="20"/>
              </w:rPr>
            </w:pPr>
            <w:r w:rsidRPr="00E410A1">
              <w:rPr>
                <w:rFonts w:ascii="Arial" w:hAnsi="Arial" w:cs="Arial"/>
                <w:sz w:val="20"/>
                <w:szCs w:val="20"/>
              </w:rPr>
              <w:t xml:space="preserve">toute autre forme de contrat ou de convention reconnue par la législation du travail et s’inscrivant dans le cadre d’une formation en alternance qui aura reçu l’approbation du Gouvernement de la Fédération Wallonie-Bruxelles.  </w:t>
            </w:r>
          </w:p>
          <w:p w14:paraId="59994CF1" w14:textId="77777777" w:rsidR="004F6B21" w:rsidRPr="00E410A1" w:rsidRDefault="004F6B21" w:rsidP="004F6B21">
            <w:pPr>
              <w:pStyle w:val="TableParagraph"/>
              <w:ind w:right="292"/>
              <w:rPr>
                <w:rFonts w:ascii="Arial" w:hAnsi="Arial" w:cs="Arial"/>
                <w:sz w:val="20"/>
                <w:szCs w:val="20"/>
              </w:rPr>
            </w:pPr>
            <w:r w:rsidRPr="00E410A1">
              <w:rPr>
                <w:rFonts w:ascii="Arial" w:hAnsi="Arial" w:cs="Arial"/>
                <w:sz w:val="20"/>
                <w:szCs w:val="20"/>
              </w:rPr>
              <w:t xml:space="preserve">Peuvent être admis comme élèves réguliers </w:t>
            </w:r>
            <w:r w:rsidRPr="00E410A1">
              <w:rPr>
                <w:rFonts w:ascii="Arial" w:hAnsi="Arial" w:cs="Arial"/>
                <w:b/>
                <w:bCs/>
                <w:sz w:val="20"/>
                <w:szCs w:val="20"/>
              </w:rPr>
              <w:t>au 3</w:t>
            </w:r>
            <w:r w:rsidRPr="00E410A1">
              <w:rPr>
                <w:rFonts w:ascii="Arial" w:hAnsi="Arial" w:cs="Arial"/>
                <w:b/>
                <w:bCs/>
                <w:sz w:val="20"/>
                <w:szCs w:val="20"/>
                <w:vertAlign w:val="superscript"/>
              </w:rPr>
              <w:t>e</w:t>
            </w:r>
            <w:r w:rsidRPr="00E410A1">
              <w:rPr>
                <w:rFonts w:ascii="Arial" w:hAnsi="Arial" w:cs="Arial"/>
                <w:b/>
                <w:bCs/>
                <w:sz w:val="20"/>
                <w:szCs w:val="20"/>
              </w:rPr>
              <w:t xml:space="preserve"> degré de</w:t>
            </w:r>
            <w:r w:rsidRPr="00E410A1">
              <w:rPr>
                <w:rFonts w:ascii="Arial" w:hAnsi="Arial" w:cs="Arial"/>
                <w:sz w:val="20"/>
                <w:szCs w:val="20"/>
              </w:rPr>
              <w:t xml:space="preserve"> l'enseignement secondaire professionnel en alternance, les titulaires d'un des certificats suivants ou d'un titre reconnu équivalent à un de ces certificats :</w:t>
            </w:r>
          </w:p>
          <w:p w14:paraId="6929A37F" w14:textId="77777777" w:rsidR="004F6B21" w:rsidRPr="00E410A1" w:rsidRDefault="004F6B21" w:rsidP="004F6B21">
            <w:pPr>
              <w:pStyle w:val="TableParagraph"/>
              <w:ind w:right="292"/>
              <w:rPr>
                <w:rFonts w:ascii="Arial" w:hAnsi="Arial" w:cs="Arial"/>
                <w:sz w:val="20"/>
                <w:szCs w:val="20"/>
              </w:rPr>
            </w:pPr>
          </w:p>
          <w:p w14:paraId="7D723931" w14:textId="77777777" w:rsidR="004F6B21" w:rsidRPr="00E410A1" w:rsidRDefault="004F6B21" w:rsidP="004F6B21">
            <w:pPr>
              <w:pStyle w:val="Paragraphedeliste"/>
              <w:numPr>
                <w:ilvl w:val="0"/>
                <w:numId w:val="15"/>
              </w:numPr>
              <w:rPr>
                <w:rFonts w:ascii="Arial" w:hAnsi="Arial" w:cs="Arial"/>
                <w:sz w:val="20"/>
                <w:szCs w:val="20"/>
              </w:rPr>
            </w:pPr>
            <w:r w:rsidRPr="00E410A1">
              <w:rPr>
                <w:rFonts w:ascii="Arial" w:hAnsi="Arial" w:cs="Arial"/>
                <w:sz w:val="20"/>
                <w:szCs w:val="20"/>
              </w:rPr>
              <w:t xml:space="preserve">l’attestation de compétences professionnelles du 2ème degré de l’enseignement secondaire en alternance ; </w:t>
            </w:r>
          </w:p>
          <w:p w14:paraId="220908E2" w14:textId="77777777" w:rsidR="004F6B21" w:rsidRPr="00E410A1" w:rsidRDefault="004F6B21" w:rsidP="004F6B21">
            <w:pPr>
              <w:pStyle w:val="Paragraphedeliste"/>
              <w:numPr>
                <w:ilvl w:val="0"/>
                <w:numId w:val="15"/>
              </w:numPr>
              <w:rPr>
                <w:rFonts w:ascii="Arial" w:hAnsi="Arial" w:cs="Arial"/>
                <w:sz w:val="20"/>
                <w:szCs w:val="20"/>
              </w:rPr>
            </w:pPr>
            <w:r w:rsidRPr="00E410A1">
              <w:rPr>
                <w:rFonts w:ascii="Arial" w:hAnsi="Arial" w:cs="Arial"/>
                <w:sz w:val="20"/>
                <w:szCs w:val="20"/>
              </w:rPr>
              <w:t xml:space="preserve">le certificat d’enseignement secondaire du 2ème degré ou le certificat d’enseignement secondaire inférieur ; </w:t>
            </w:r>
          </w:p>
          <w:p w14:paraId="4FA69826" w14:textId="77777777" w:rsidR="004F6B21" w:rsidRPr="00E410A1" w:rsidRDefault="004F6B21" w:rsidP="004F6B21">
            <w:pPr>
              <w:pStyle w:val="Paragraphedeliste"/>
              <w:numPr>
                <w:ilvl w:val="0"/>
                <w:numId w:val="15"/>
              </w:numPr>
              <w:rPr>
                <w:rFonts w:ascii="Arial" w:hAnsi="Arial" w:cs="Arial"/>
                <w:sz w:val="20"/>
                <w:szCs w:val="20"/>
              </w:rPr>
            </w:pPr>
            <w:r w:rsidRPr="00E410A1">
              <w:rPr>
                <w:rFonts w:ascii="Arial" w:hAnsi="Arial" w:cs="Arial"/>
                <w:sz w:val="20"/>
                <w:szCs w:val="20"/>
              </w:rPr>
              <w:t xml:space="preserve">le certificat de qualification de 3ème phase de l’enseignement spécialisé de forme </w:t>
            </w:r>
            <w:proofErr w:type="gramStart"/>
            <w:r w:rsidRPr="00E410A1">
              <w:rPr>
                <w:rFonts w:ascii="Arial" w:hAnsi="Arial" w:cs="Arial"/>
                <w:sz w:val="20"/>
                <w:szCs w:val="20"/>
              </w:rPr>
              <w:t>3 .</w:t>
            </w:r>
            <w:proofErr w:type="gramEnd"/>
            <w:r w:rsidRPr="00E410A1">
              <w:rPr>
                <w:rFonts w:ascii="Arial" w:hAnsi="Arial" w:cs="Arial"/>
                <w:sz w:val="20"/>
                <w:szCs w:val="20"/>
              </w:rPr>
              <w:t xml:space="preserve"> </w:t>
            </w:r>
          </w:p>
          <w:p w14:paraId="4527BFAC" w14:textId="77777777" w:rsidR="004F6B21" w:rsidRPr="00E410A1" w:rsidRDefault="004F6B21" w:rsidP="004F6B21">
            <w:pPr>
              <w:pStyle w:val="TableParagraph"/>
              <w:ind w:right="292"/>
              <w:rPr>
                <w:rFonts w:ascii="Arial" w:hAnsi="Arial" w:cs="Arial"/>
                <w:sz w:val="20"/>
                <w:szCs w:val="20"/>
                <w:lang w:val="fr-BE"/>
              </w:rPr>
            </w:pPr>
          </w:p>
          <w:p w14:paraId="5A050E38" w14:textId="77777777" w:rsidR="004F6B21" w:rsidRPr="00E410A1" w:rsidRDefault="004F6B21" w:rsidP="004F6B21">
            <w:pPr>
              <w:pStyle w:val="TableParagraph"/>
              <w:ind w:right="105"/>
              <w:rPr>
                <w:rFonts w:ascii="Arial" w:hAnsi="Arial" w:cs="Arial"/>
                <w:sz w:val="20"/>
                <w:szCs w:val="20"/>
              </w:rPr>
            </w:pPr>
            <w:r w:rsidRPr="00E410A1">
              <w:rPr>
                <w:rFonts w:ascii="Arial" w:hAnsi="Arial" w:cs="Arial"/>
                <w:sz w:val="20"/>
                <w:szCs w:val="20"/>
              </w:rPr>
              <w:t>Les candidats qui n'ont obtenu aucun de ces certificats ne peuvent être admis comme élèves réguliers que dans le deuxième degré de l'enseignement secondaire professionnel.</w:t>
            </w:r>
          </w:p>
          <w:p w14:paraId="0EFF5B14" w14:textId="77777777" w:rsidR="004F6B21" w:rsidRPr="00E410A1" w:rsidRDefault="004F6B21" w:rsidP="004F6B21">
            <w:pPr>
              <w:pStyle w:val="TableParagraph"/>
              <w:ind w:right="105"/>
              <w:rPr>
                <w:rFonts w:ascii="Arial" w:hAnsi="Arial" w:cs="Arial"/>
                <w:sz w:val="20"/>
                <w:szCs w:val="20"/>
              </w:rPr>
            </w:pPr>
          </w:p>
          <w:p w14:paraId="7555D4D8" w14:textId="367CAC4C" w:rsidR="004F6B21" w:rsidRDefault="004F6B21" w:rsidP="004F6B21">
            <w:pPr>
              <w:pStyle w:val="TableParagraph"/>
              <w:ind w:right="105"/>
              <w:rPr>
                <w:rFonts w:ascii="Arial" w:hAnsi="Arial" w:cs="Arial"/>
                <w:sz w:val="20"/>
                <w:szCs w:val="20"/>
              </w:rPr>
            </w:pPr>
            <w:r w:rsidRPr="00E410A1">
              <w:rPr>
                <w:rFonts w:ascii="Arial" w:hAnsi="Arial" w:cs="Arial"/>
                <w:sz w:val="20"/>
                <w:szCs w:val="20"/>
              </w:rPr>
              <w:t xml:space="preserve">Les conditions d’âge (sauf pour les élèves mineures qui </w:t>
            </w:r>
            <w:r>
              <w:rPr>
                <w:rFonts w:ascii="Arial" w:hAnsi="Arial" w:cs="Arial"/>
                <w:sz w:val="20"/>
                <w:szCs w:val="20"/>
              </w:rPr>
              <w:t>ne sont pas concernés</w:t>
            </w:r>
            <w:r w:rsidRPr="00E410A1">
              <w:rPr>
                <w:rFonts w:ascii="Arial" w:hAnsi="Arial" w:cs="Arial"/>
                <w:sz w:val="20"/>
                <w:szCs w:val="20"/>
              </w:rPr>
              <w:t>) et de contrat/conventions sont les mêmes que pour le 2</w:t>
            </w:r>
            <w:r w:rsidRPr="00E410A1">
              <w:rPr>
                <w:rFonts w:ascii="Arial" w:hAnsi="Arial" w:cs="Arial"/>
                <w:sz w:val="20"/>
                <w:szCs w:val="20"/>
                <w:vertAlign w:val="superscript"/>
              </w:rPr>
              <w:t>e</w:t>
            </w:r>
            <w:r w:rsidRPr="00E410A1">
              <w:rPr>
                <w:rFonts w:ascii="Arial" w:hAnsi="Arial" w:cs="Arial"/>
                <w:sz w:val="20"/>
                <w:szCs w:val="20"/>
              </w:rPr>
              <w:t xml:space="preserve"> degré</w:t>
            </w:r>
          </w:p>
          <w:p w14:paraId="67EAB1A7" w14:textId="77777777" w:rsidR="004F6B21" w:rsidRDefault="004F6B21" w:rsidP="004F6B21">
            <w:pPr>
              <w:pStyle w:val="TableParagraph"/>
              <w:ind w:right="105"/>
              <w:rPr>
                <w:rFonts w:ascii="Arial" w:hAnsi="Arial" w:cs="Arial"/>
                <w:sz w:val="20"/>
                <w:szCs w:val="20"/>
              </w:rPr>
            </w:pPr>
          </w:p>
          <w:p w14:paraId="5F2D7A14" w14:textId="77777777" w:rsidR="004F6B21" w:rsidRDefault="004F6B21" w:rsidP="004F6B21">
            <w:pPr>
              <w:spacing w:before="40" w:after="40"/>
              <w:rPr>
                <w:rFonts w:ascii="Arial" w:hAnsi="Arial"/>
                <w:b/>
                <w:lang w:val="fr-FR"/>
              </w:rPr>
            </w:pPr>
            <w:bookmarkStart w:id="1" w:name="_GoBack"/>
            <w:bookmarkEnd w:id="1"/>
            <w:r>
              <w:rPr>
                <w:rFonts w:ascii="Arial" w:hAnsi="Arial"/>
                <w:b/>
                <w:lang w:val="fr-FR"/>
              </w:rPr>
              <w:t>Information complémentaire</w:t>
            </w:r>
          </w:p>
          <w:p w14:paraId="5F2D7A15" w14:textId="77777777" w:rsidR="004F6B21" w:rsidRDefault="004F6B21" w:rsidP="004F6B21">
            <w:pPr>
              <w:rPr>
                <w:rFonts w:ascii="Arial" w:hAnsi="Arial"/>
                <w:lang w:val="fr-FR"/>
              </w:rPr>
            </w:pPr>
          </w:p>
          <w:p w14:paraId="5F2D7A16" w14:textId="77777777" w:rsidR="004F6B21" w:rsidRDefault="004F6B21" w:rsidP="004F6B21">
            <w:pPr>
              <w:rPr>
                <w:rFonts w:ascii="Arial" w:hAnsi="Arial"/>
                <w:lang w:val="fr-FR"/>
              </w:rPr>
            </w:pPr>
            <w:r>
              <w:rPr>
                <w:rFonts w:ascii="Arial" w:hAnsi="Arial"/>
                <w:lang w:val="fr-FR"/>
              </w:rPr>
              <w:t>www.europass.eu</w:t>
            </w:r>
          </w:p>
        </w:tc>
      </w:tr>
    </w:tbl>
    <w:p w14:paraId="5F2D7A18" w14:textId="77777777" w:rsidR="009A6914" w:rsidRDefault="009A6914">
      <w:pPr>
        <w:jc w:val="center"/>
        <w:rPr>
          <w:rFonts w:ascii="Arial" w:hAnsi="Arial"/>
          <w:lang w:val="fr-FR"/>
        </w:rPr>
      </w:pPr>
    </w:p>
    <w:sectPr w:rsidR="009A6914">
      <w:headerReference w:type="default" r:id="rId16"/>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91F4" w14:textId="77777777" w:rsidR="00F8450F" w:rsidRDefault="00F8450F">
      <w:r>
        <w:separator/>
      </w:r>
    </w:p>
  </w:endnote>
  <w:endnote w:type="continuationSeparator" w:id="0">
    <w:p w14:paraId="7D3D54E3" w14:textId="77777777" w:rsidR="00F8450F" w:rsidRDefault="00F8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7636" w14:textId="77777777" w:rsidR="00F8450F" w:rsidRDefault="00F8450F">
      <w:r>
        <w:separator/>
      </w:r>
    </w:p>
  </w:footnote>
  <w:footnote w:type="continuationSeparator" w:id="0">
    <w:p w14:paraId="1D9D1E23" w14:textId="77777777" w:rsidR="00F8450F" w:rsidRDefault="00F8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10"/>
  </w:num>
  <w:num w:numId="6">
    <w:abstractNumId w:val="8"/>
  </w:num>
  <w:num w:numId="7">
    <w:abstractNumId w:val="2"/>
  </w:num>
  <w:num w:numId="8">
    <w:abstractNumId w:val="2"/>
  </w:num>
  <w:num w:numId="9">
    <w:abstractNumId w:val="5"/>
  </w:num>
  <w:num w:numId="10">
    <w:abstractNumId w:val="3"/>
  </w:num>
  <w:num w:numId="11">
    <w:abstractNumId w:val="9"/>
  </w:num>
  <w:num w:numId="12">
    <w:abstractNumId w:val="14"/>
  </w:num>
  <w:num w:numId="13">
    <w:abstractNumId w:val="1"/>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633A8"/>
    <w:rsid w:val="001D1497"/>
    <w:rsid w:val="00297A74"/>
    <w:rsid w:val="003B5D5B"/>
    <w:rsid w:val="003C0404"/>
    <w:rsid w:val="003C665A"/>
    <w:rsid w:val="004E75ED"/>
    <w:rsid w:val="004F6B21"/>
    <w:rsid w:val="005D23F9"/>
    <w:rsid w:val="006C1684"/>
    <w:rsid w:val="006C3382"/>
    <w:rsid w:val="006F4402"/>
    <w:rsid w:val="00710D3C"/>
    <w:rsid w:val="007804BD"/>
    <w:rsid w:val="00783CFE"/>
    <w:rsid w:val="007D6B97"/>
    <w:rsid w:val="008819C7"/>
    <w:rsid w:val="009260E3"/>
    <w:rsid w:val="009A6914"/>
    <w:rsid w:val="00A9248C"/>
    <w:rsid w:val="00B96325"/>
    <w:rsid w:val="00BF7C74"/>
    <w:rsid w:val="00C03BBD"/>
    <w:rsid w:val="00C3768B"/>
    <w:rsid w:val="00C42E26"/>
    <w:rsid w:val="00C80B82"/>
    <w:rsid w:val="00CA1337"/>
    <w:rsid w:val="00DA58F1"/>
    <w:rsid w:val="00E84D20"/>
    <w:rsid w:val="00EC2118"/>
    <w:rsid w:val="00EE451A"/>
    <w:rsid w:val="00F70B76"/>
    <w:rsid w:val="00F845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E84D20"/>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2.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AB7538-7D88-4BF1-9213-61C8E832D668}">
  <ds:schemaRefs>
    <ds:schemaRef ds:uri="http://purl.org/dc/elements/1.1/"/>
    <ds:schemaRef ds:uri="http://schemas.microsoft.com/office/2006/metadata/properties"/>
    <ds:schemaRef ds:uri="http://purl.org/dc/terms/"/>
    <ds:schemaRef ds:uri="http://schemas.microsoft.com/office/2006/documentManagement/types"/>
    <ds:schemaRef ds:uri="0e656187-b300-4fb0-8bf4-3a50f87207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C0BDE3-08EC-4D7F-A779-58073A6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6604</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Vincent SOUMOY </cp:lastModifiedBy>
  <cp:revision>2</cp:revision>
  <cp:lastPrinted>2003-10-16T15:04:00Z</cp:lastPrinted>
  <dcterms:created xsi:type="dcterms:W3CDTF">2023-10-04T09:19:00Z</dcterms:created>
  <dcterms:modified xsi:type="dcterms:W3CDTF">2023-10-04T09:19:00Z</dcterms:modified>
</cp:coreProperties>
</file>