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bookmarkStart w:id="0" w:name="_MON_1704259356"/>
          <w:bookmarkEnd w:id="0"/>
          <w:p w14:paraId="5F2D79A9" w14:textId="77777777" w:rsidR="009A6914" w:rsidRDefault="003A1818">
            <w:pPr>
              <w:jc w:val="center"/>
              <w:rPr>
                <w:rFonts w:ascii="Arial" w:hAnsi="Arial"/>
                <w:lang w:val="fr-FR"/>
              </w:rPr>
            </w:pPr>
            <w:r>
              <w:rPr>
                <w:rFonts w:ascii="Arial" w:hAnsi="Arial"/>
                <w:lang w:val="fr-FR"/>
              </w:rPr>
              <w:object w:dxaOrig="1520" w:dyaOrig="985" w14:anchorId="34278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05pt;height:49.1pt" o:ole="">
                  <v:imagedata r:id="rId11" o:title=""/>
                </v:shape>
                <o:OLEObject Type="Embed" ProgID="Word.Document.12" ShapeID="_x0000_i1026" DrawAspect="Icon" ObjectID="_1704259388" r:id="rId12">
                  <o:FieldCodes>\s</o:FieldCodes>
                </o:OLEObject>
              </w:object>
            </w:r>
            <w:r w:rsidR="001633A8">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1" w:name="_MON_1237812174"/>
            <w:bookmarkEnd w:id="1"/>
            <w:r w:rsidR="001633A8">
              <w:rPr>
                <w:rFonts w:ascii="Arial" w:hAnsi="Arial"/>
                <w:sz w:val="16"/>
              </w:rPr>
              <w:object w:dxaOrig="931" w:dyaOrig="811" w14:anchorId="5F2D7A1B">
                <v:shape id="_x0000_i1025" type="#_x0000_t75" style="width:47.1pt;height:40.35pt" o:ole="">
                  <v:imagedata r:id="rId15" o:title=""/>
                </v:shape>
                <o:OLEObject Type="Embed" ProgID="Word.Picture.8" ShapeID="_x0000_i1025" DrawAspect="Content" ObjectID="_1704259389" r:id="rId16"/>
              </w:object>
            </w:r>
          </w:p>
          <w:p w14:paraId="5F2D79AC" w14:textId="265C696B" w:rsidR="009A6914" w:rsidRDefault="001633A8">
            <w:pPr>
              <w:tabs>
                <w:tab w:val="center" w:pos="1472"/>
              </w:tabs>
              <w:rPr>
                <w:bCs/>
                <w:lang w:val="fr-FR"/>
              </w:rPr>
            </w:pPr>
            <w:r>
              <w:rPr>
                <w:rFonts w:ascii="Arial" w:hAnsi="Arial"/>
                <w:sz w:val="16"/>
              </w:rPr>
              <w:tab/>
              <w:t>Belgique</w:t>
            </w:r>
          </w:p>
        </w:tc>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B36D0E" w14:paraId="5F2D79B2" w14:textId="77777777">
        <w:trPr>
          <w:cantSplit/>
          <w:trHeight w:val="345"/>
        </w:trPr>
        <w:tc>
          <w:tcPr>
            <w:tcW w:w="10350" w:type="dxa"/>
          </w:tcPr>
          <w:p w14:paraId="5F2D79B1" w14:textId="5A95F4BC" w:rsidR="009A6914" w:rsidRDefault="001633A8">
            <w:pPr>
              <w:spacing w:before="60" w:after="60"/>
              <w:jc w:val="center"/>
              <w:rPr>
                <w:rFonts w:ascii="Arial" w:hAnsi="Arial"/>
                <w:b/>
                <w:sz w:val="24"/>
                <w:lang w:val="fr-FR"/>
              </w:rPr>
            </w:pPr>
            <w:r w:rsidRPr="00357CD5">
              <w:rPr>
                <w:rFonts w:ascii="Arial" w:hAnsi="Arial"/>
                <w:b/>
                <w:bCs/>
                <w:sz w:val="24"/>
                <w:lang w:val="fr-FR"/>
              </w:rPr>
              <w:t xml:space="preserve">Certificat </w:t>
            </w:r>
            <w:r w:rsidR="003B5D5B" w:rsidRPr="00357CD5">
              <w:rPr>
                <w:rFonts w:ascii="Arial" w:hAnsi="Arial"/>
                <w:b/>
                <w:bCs/>
                <w:sz w:val="24"/>
                <w:lang w:val="fr-FR"/>
              </w:rPr>
              <w:t>de qualification</w:t>
            </w:r>
            <w:r w:rsidRPr="00357CD5">
              <w:rPr>
                <w:rFonts w:ascii="Arial" w:hAnsi="Arial"/>
                <w:b/>
                <w:bCs/>
                <w:sz w:val="24"/>
                <w:lang w:val="fr-FR"/>
              </w:rPr>
              <w:t xml:space="preserve"> d</w:t>
            </w:r>
            <w:r w:rsidR="00357CD5">
              <w:rPr>
                <w:rFonts w:ascii="Arial" w:hAnsi="Arial"/>
                <w:b/>
                <w:bCs/>
                <w:sz w:val="24"/>
                <w:lang w:val="fr-FR"/>
              </w:rPr>
              <w:t>e l’</w:t>
            </w:r>
            <w:r w:rsidR="006E2ED4">
              <w:rPr>
                <w:rFonts w:ascii="Arial" w:hAnsi="Arial"/>
                <w:b/>
                <w:sz w:val="24"/>
                <w:lang w:val="fr-FR"/>
              </w:rPr>
              <w:t>Esthéticien social / Esthéticienne sociale</w:t>
            </w:r>
            <w:r>
              <w:rPr>
                <w:rFonts w:ascii="Arial" w:hAnsi="Arial"/>
                <w:b/>
                <w:sz w:val="24"/>
                <w:lang w:val="fr-FR"/>
              </w:rPr>
              <w:t xml:space="preserve"> </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B36D0E"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6E2ED4" w14:paraId="5F2D79B9" w14:textId="77777777">
        <w:trPr>
          <w:trHeight w:val="341"/>
        </w:trPr>
        <w:tc>
          <w:tcPr>
            <w:tcW w:w="10350" w:type="dxa"/>
          </w:tcPr>
          <w:p w14:paraId="5085B59A" w14:textId="45DAAD22" w:rsidR="006E2ED4" w:rsidRPr="00357CD5" w:rsidRDefault="00C80B82">
            <w:pPr>
              <w:spacing w:before="60" w:after="60"/>
              <w:jc w:val="center"/>
              <w:rPr>
                <w:rFonts w:ascii="Arial" w:hAnsi="Arial"/>
                <w:b/>
                <w:lang w:val="en-US"/>
              </w:rPr>
            </w:pPr>
            <w:r w:rsidRPr="002A2427">
              <w:rPr>
                <w:rFonts w:ascii="Arial" w:hAnsi="Arial"/>
                <w:b/>
                <w:lang w:val="fr-BE"/>
              </w:rPr>
              <w:t xml:space="preserve"> </w:t>
            </w:r>
            <w:r w:rsidR="006E2ED4" w:rsidRPr="00357CD5">
              <w:rPr>
                <w:rFonts w:ascii="Arial" w:hAnsi="Arial"/>
                <w:b/>
                <w:lang w:val="en-US"/>
              </w:rPr>
              <w:t xml:space="preserve">Sociale schoonheidsverzorger / -ster </w:t>
            </w:r>
            <w:r w:rsidR="001633A8" w:rsidRPr="00357CD5">
              <w:rPr>
                <w:rFonts w:ascii="Arial" w:hAnsi="Arial"/>
                <w:lang w:val="en-US"/>
              </w:rPr>
              <w:t>(NL</w:t>
            </w:r>
            <w:r w:rsidR="006E2ED4" w:rsidRPr="00357CD5">
              <w:rPr>
                <w:rFonts w:ascii="Arial" w:hAnsi="Arial"/>
                <w:lang w:val="en-US"/>
              </w:rPr>
              <w:t>)</w:t>
            </w:r>
          </w:p>
          <w:p w14:paraId="5F2D79B8" w14:textId="783D84FA" w:rsidR="009A6914" w:rsidRPr="006E2ED4" w:rsidRDefault="006E2ED4">
            <w:pPr>
              <w:spacing w:before="60" w:after="60"/>
              <w:jc w:val="center"/>
              <w:rPr>
                <w:rFonts w:ascii="Arial" w:hAnsi="Arial"/>
                <w:lang w:val="en-US"/>
              </w:rPr>
            </w:pPr>
            <w:r w:rsidRPr="006E2ED4">
              <w:rPr>
                <w:rFonts w:ascii="Arial" w:hAnsi="Arial"/>
                <w:b/>
                <w:lang w:val="en-US"/>
              </w:rPr>
              <w:t xml:space="preserve">Kosmetiker/-in im sozialen Bereich </w:t>
            </w:r>
            <w:r w:rsidR="001633A8" w:rsidRPr="006E2ED4">
              <w:rPr>
                <w:rFonts w:ascii="Arial" w:hAnsi="Arial"/>
                <w:lang w:val="en-US"/>
              </w:rPr>
              <w:t>(DE)</w:t>
            </w:r>
            <w:r w:rsidR="001633A8" w:rsidRPr="006E2ED4">
              <w:rPr>
                <w:rFonts w:ascii="Arial" w:hAnsi="Arial"/>
                <w:b/>
                <w:lang w:val="en-US"/>
              </w:rPr>
              <w:t>)</w:t>
            </w:r>
            <w:r w:rsidR="001633A8" w:rsidRPr="006E2ED4">
              <w:rPr>
                <w:rFonts w:ascii="Arial" w:hAnsi="Arial"/>
                <w:lang w:val="en-US"/>
              </w:rPr>
              <w:br/>
            </w:r>
            <w:r w:rsidR="00C80B82" w:rsidRPr="006E2ED4">
              <w:rPr>
                <w:rFonts w:ascii="Arial" w:hAnsi="Arial"/>
                <w:b/>
                <w:lang w:val="en-US"/>
              </w:rPr>
              <w:t xml:space="preserve"> </w:t>
            </w:r>
            <w:r w:rsidRPr="006E2ED4">
              <w:rPr>
                <w:rFonts w:ascii="Arial" w:hAnsi="Arial"/>
                <w:b/>
                <w:lang w:val="en-US"/>
              </w:rPr>
              <w:t xml:space="preserve">Social beautician </w:t>
            </w:r>
            <w:r w:rsidR="001633A8" w:rsidRPr="006E2ED4">
              <w:rPr>
                <w:rFonts w:ascii="Arial" w:hAnsi="Arial"/>
                <w:lang w:val="en-US"/>
              </w:rPr>
              <w:t xml:space="preserve">(EN) </w:t>
            </w:r>
          </w:p>
        </w:tc>
      </w:tr>
      <w:tr w:rsidR="009A6914" w:rsidRPr="00B36D0E"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rsidRPr="00B36D0E" w14:paraId="5F2D79C5" w14:textId="77777777" w:rsidTr="00357CD5">
        <w:trPr>
          <w:trHeight w:val="1387"/>
        </w:trPr>
        <w:tc>
          <w:tcPr>
            <w:tcW w:w="10350" w:type="dxa"/>
          </w:tcPr>
          <w:p w14:paraId="446F64EA" w14:textId="77777777" w:rsidR="002A2427"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 </w:t>
            </w:r>
          </w:p>
          <w:p w14:paraId="75005A80" w14:textId="7ED03450" w:rsidR="00B36D0E" w:rsidRPr="00B36D0E" w:rsidRDefault="002A2427" w:rsidP="00B36D0E">
            <w:pPr>
              <w:spacing w:before="40" w:after="20"/>
              <w:rPr>
                <w:rFonts w:ascii="Arial" w:hAnsi="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r w:rsidR="00B36D0E">
              <w:rPr>
                <w:rFonts w:ascii="Arial" w:hAnsi="Arial" w:cs="Arial"/>
                <w:lang w:val="fr-BE"/>
              </w:rPr>
              <w:t xml:space="preserve"> </w:t>
            </w: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p w14:paraId="12257BBB" w14:textId="271F40A9" w:rsidR="006E2ED4" w:rsidRPr="006E2ED4" w:rsidRDefault="006E2ED4" w:rsidP="002A2427">
            <w:pPr>
              <w:numPr>
                <w:ilvl w:val="0"/>
                <w:numId w:val="6"/>
              </w:numPr>
              <w:spacing w:before="40" w:after="20"/>
              <w:rPr>
                <w:rFonts w:ascii="Arial" w:hAnsi="Arial"/>
                <w:lang w:val="fr-BE"/>
              </w:rPr>
            </w:pPr>
            <w:r w:rsidRPr="006E2ED4">
              <w:rPr>
                <w:rFonts w:ascii="Arial" w:hAnsi="Arial"/>
                <w:lang w:val="fr-BE"/>
              </w:rPr>
              <w:t>UAA1</w:t>
            </w:r>
            <w:r w:rsidR="00A14FE3">
              <w:rPr>
                <w:rFonts w:ascii="Arial" w:hAnsi="Arial"/>
                <w:lang w:val="fr-BE"/>
              </w:rPr>
              <w:t xml:space="preserve"> </w:t>
            </w:r>
            <w:r w:rsidRPr="006E2ED4">
              <w:rPr>
                <w:rFonts w:ascii="Arial" w:hAnsi="Arial"/>
                <w:lang w:val="fr-BE"/>
              </w:rPr>
              <w:t>: Prendre en charge de manière globale un bénéficiaire et réaliser des soins esthétiques adaptés.</w:t>
            </w:r>
          </w:p>
          <w:p w14:paraId="5F2D79C3" w14:textId="0B43A63B" w:rsidR="009A6914" w:rsidRPr="00E02D97" w:rsidRDefault="006E2ED4" w:rsidP="00422A24">
            <w:pPr>
              <w:numPr>
                <w:ilvl w:val="0"/>
                <w:numId w:val="6"/>
              </w:numPr>
              <w:spacing w:before="40" w:after="20"/>
              <w:rPr>
                <w:rFonts w:ascii="Arial" w:hAnsi="Arial"/>
                <w:sz w:val="18"/>
                <w:lang w:val="fr-FR"/>
              </w:rPr>
            </w:pPr>
            <w:r w:rsidRPr="00E02D97">
              <w:rPr>
                <w:rFonts w:ascii="Arial" w:hAnsi="Arial"/>
                <w:lang w:val="fr-BE"/>
              </w:rPr>
              <w:t>UAA2</w:t>
            </w:r>
            <w:r w:rsidR="00A14FE3">
              <w:rPr>
                <w:rFonts w:ascii="Arial" w:hAnsi="Arial"/>
                <w:lang w:val="fr-BE"/>
              </w:rPr>
              <w:t xml:space="preserve"> </w:t>
            </w:r>
            <w:r w:rsidRPr="00E02D97">
              <w:rPr>
                <w:rFonts w:ascii="Arial" w:hAnsi="Arial"/>
                <w:lang w:val="fr-BE"/>
              </w:rPr>
              <w:t>: Effectuer des démonstrations et conseiller les bénéficiaires pour le bien-être, la construction et le maintien d’une image positive de soi.</w:t>
            </w:r>
          </w:p>
          <w:p w14:paraId="5F2D79C4" w14:textId="77777777" w:rsidR="009A6914" w:rsidRDefault="009A6914">
            <w:pPr>
              <w:spacing w:before="40" w:after="20"/>
              <w:rPr>
                <w:rFonts w:ascii="Arial" w:hAnsi="Arial"/>
                <w:sz w:val="18"/>
                <w:lang w:val="fr-FR"/>
              </w:rPr>
            </w:pP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B36D0E"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B36D0E" w14:paraId="5F2D79CC" w14:textId="77777777">
        <w:trPr>
          <w:trHeight w:val="939"/>
        </w:trPr>
        <w:tc>
          <w:tcPr>
            <w:tcW w:w="10350" w:type="dxa"/>
          </w:tcPr>
          <w:p w14:paraId="4011C295" w14:textId="77777777" w:rsidR="00E02D97" w:rsidRPr="00E02D97" w:rsidRDefault="00E02D97" w:rsidP="00E02D97">
            <w:pPr>
              <w:autoSpaceDE w:val="0"/>
              <w:autoSpaceDN w:val="0"/>
              <w:adjustRightInd w:val="0"/>
              <w:spacing w:before="60"/>
              <w:rPr>
                <w:rFonts w:ascii="Arial" w:hAnsi="Arial" w:cs="Arial"/>
                <w:lang w:val="fr-BE"/>
              </w:rPr>
            </w:pPr>
            <w:r w:rsidRPr="00E02D97">
              <w:rPr>
                <w:rFonts w:ascii="Arial" w:hAnsi="Arial" w:cs="Arial"/>
                <w:lang w:val="fr-BE"/>
              </w:rPr>
              <w:t>Le métier d'esthéticien(ne) social(e) est référencé dans la fiche métier fiche D1208 - Soins esthétiques et corporels du Répertoire Opérationnel des Métiers et des Emplois (www.pole-emploi.fr).</w:t>
            </w:r>
          </w:p>
          <w:p w14:paraId="0462B42F" w14:textId="2A53547F" w:rsidR="00E02D97" w:rsidRPr="00E02D97" w:rsidRDefault="00E02D97" w:rsidP="00E02D97">
            <w:pPr>
              <w:autoSpaceDE w:val="0"/>
              <w:autoSpaceDN w:val="0"/>
              <w:adjustRightInd w:val="0"/>
              <w:spacing w:before="60"/>
              <w:rPr>
                <w:rFonts w:ascii="Arial" w:hAnsi="Arial" w:cs="Arial"/>
                <w:lang w:val="fr-BE"/>
              </w:rPr>
            </w:pPr>
            <w:r w:rsidRPr="00E02D97">
              <w:rPr>
                <w:rFonts w:ascii="Arial" w:hAnsi="Arial" w:cs="Arial"/>
                <w:lang w:val="fr-BE"/>
              </w:rPr>
              <w:t>La nomenclature et la codification du ROME sont utilisées par les différents services</w:t>
            </w:r>
            <w:r>
              <w:rPr>
                <w:rFonts w:ascii="Arial" w:hAnsi="Arial" w:cs="Arial"/>
                <w:lang w:val="fr-BE"/>
              </w:rPr>
              <w:t xml:space="preserve"> </w:t>
            </w:r>
            <w:r w:rsidRPr="00E02D97">
              <w:rPr>
                <w:rFonts w:ascii="Arial" w:hAnsi="Arial" w:cs="Arial"/>
                <w:lang w:val="fr-BE"/>
              </w:rPr>
              <w:t>publics de l’emploi en Belgique.</w:t>
            </w:r>
          </w:p>
          <w:p w14:paraId="59A731AF" w14:textId="77777777" w:rsidR="00E02D97" w:rsidRPr="00E02D97" w:rsidRDefault="00E02D97" w:rsidP="00E02D97">
            <w:pPr>
              <w:autoSpaceDE w:val="0"/>
              <w:autoSpaceDN w:val="0"/>
              <w:adjustRightInd w:val="0"/>
              <w:spacing w:before="60"/>
              <w:rPr>
                <w:rFonts w:ascii="Arial" w:hAnsi="Arial" w:cs="Arial"/>
                <w:lang w:val="fr-BE"/>
              </w:rPr>
            </w:pPr>
            <w:r w:rsidRPr="00E02D97">
              <w:rPr>
                <w:rFonts w:ascii="Arial" w:hAnsi="Arial" w:cs="Arial"/>
                <w:lang w:val="fr-BE"/>
              </w:rPr>
              <w:t>L’esthéticien(ne) social(e) utilise les soins esthétiques pour favoriser le mieux être physique et relationnel des personnes fragilisés (l’agression due à la maladie, à l’âge, aux accidents et aux thérapies traumatiques) pour les aider à construire ou à retrouver leur image corporelle, leur identité personnelle, et leur estime de soi.</w:t>
            </w:r>
          </w:p>
          <w:p w14:paraId="5F2D79CB" w14:textId="7E29F2C4" w:rsidR="009A6914" w:rsidRDefault="00E02D97" w:rsidP="00E02D97">
            <w:pPr>
              <w:spacing w:before="40" w:after="20"/>
              <w:rPr>
                <w:rFonts w:ascii="Arial" w:hAnsi="Arial"/>
                <w:lang w:val="fr-FR"/>
              </w:rPr>
            </w:pPr>
            <w:r w:rsidRPr="00E02D97">
              <w:rPr>
                <w:rFonts w:ascii="Arial" w:hAnsi="Arial" w:cs="Arial"/>
                <w:lang w:val="fr-BE"/>
              </w:rPr>
              <w:t>Il/Elle doit posséder le sens du relationnel pour établir les contacts avec l’usager, lui proposer des soins esthétiques appropriés et dispenser des conseils adéquats</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Union européenne,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p w14:paraId="5F2D79D6" w14:textId="77777777" w:rsidR="009A6914" w:rsidRDefault="001633A8">
      <w:pPr>
        <w:jc w:val="center"/>
        <w:rPr>
          <w:rFonts w:ascii="Arial" w:hAnsi="Arial"/>
          <w:sz w:val="18"/>
          <w:lang w:val="fr-FR"/>
        </w:rPr>
      </w:pPr>
      <w:r>
        <w:rPr>
          <w:rFonts w:ascii="Arial" w:hAnsi="Arial"/>
          <w:sz w:val="18"/>
          <w:lang w:val="fr-FR"/>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lastRenderedPageBreak/>
              <w:t>5. Base officielle du certificat</w:t>
            </w:r>
          </w:p>
        </w:tc>
      </w:tr>
      <w:tr w:rsidR="009A6914" w:rsidRPr="00B36D0E"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3A1818" w:rsidP="003B5D5B">
            <w:pPr>
              <w:rPr>
                <w:rFonts w:ascii="Arial" w:hAnsi="Arial"/>
                <w:sz w:val="18"/>
                <w:lang w:val="fr-FR"/>
              </w:rPr>
            </w:pPr>
            <w:hyperlink r:id="rId17" w:history="1">
              <w:r w:rsidR="003B5D5B" w:rsidRPr="00C01BF3">
                <w:rPr>
                  <w:rStyle w:val="Lienhypertexte"/>
                  <w:rFonts w:ascii="Arial" w:hAnsi="Arial" w:cs="Arial"/>
                  <w:lang w:val="fr-BE"/>
                </w:rPr>
                <w:t>http://www.federation-wallonie-bruxelles.be/</w:t>
              </w:r>
            </w:hyperlink>
          </w:p>
        </w:tc>
      </w:tr>
      <w:tr w:rsidR="009A6914" w:rsidRPr="00B36D0E"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67295503" w:rsidR="009A6914" w:rsidRDefault="001633A8">
            <w:pPr>
              <w:spacing w:before="40" w:after="40"/>
              <w:rPr>
                <w:rFonts w:ascii="Arial" w:hAnsi="Arial"/>
                <w:lang w:val="fr-FR"/>
              </w:rPr>
            </w:pPr>
            <w:r>
              <w:rPr>
                <w:rFonts w:ascii="Arial" w:hAnsi="Arial" w:cs="Arial"/>
                <w:lang w:val="fr-FR"/>
              </w:rPr>
              <w:t xml:space="preserve">Niveau </w:t>
            </w:r>
            <w:r w:rsidR="003A1818">
              <w:rPr>
                <w:rFonts w:ascii="Arial" w:hAnsi="Arial" w:cs="Arial"/>
                <w:lang w:val="fr-FR"/>
              </w:rPr>
              <w:t>4</w:t>
            </w:r>
            <w:bookmarkStart w:id="2" w:name="_GoBack"/>
            <w:bookmarkEnd w:id="2"/>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56681EE2"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4376F04F" w14:textId="2B297397" w:rsidR="003C46C4" w:rsidRDefault="003C46C4">
            <w:pPr>
              <w:spacing w:before="40" w:after="40"/>
              <w:rPr>
                <w:rFonts w:ascii="Arial" w:hAnsi="Arial"/>
                <w:lang w:val="fr-FR"/>
              </w:rPr>
            </w:pPr>
            <w:r w:rsidRPr="00304EFC">
              <w:rPr>
                <w:rFonts w:ascii="Arial" w:hAnsi="Arial"/>
                <w:lang w:val="fr-FR"/>
              </w:rPr>
              <w:t>Le certificat de qualification est délivré aux élèves qui maîtrisent les acquis d'apprentissage fixés par le profil de certification d</w:t>
            </w:r>
            <w:r>
              <w:rPr>
                <w:rFonts w:ascii="Arial" w:hAnsi="Arial"/>
                <w:lang w:val="fr-FR"/>
              </w:rPr>
              <w:t>e l’ « Esthéticien social / Esthéticienne sociale ».</w:t>
            </w:r>
          </w:p>
          <w:p w14:paraId="5F2D79EA" w14:textId="3B52E7F5" w:rsidR="003B5D5B" w:rsidRDefault="002A2427" w:rsidP="002A2427">
            <w:pPr>
              <w:spacing w:before="40" w:after="40"/>
              <w:rPr>
                <w:rFonts w:ascii="Arial" w:hAnsi="Arial"/>
                <w:lang w:val="fr-FR"/>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9A6914" w14:paraId="5F2D79F0" w14:textId="77777777" w:rsidTr="00C3768B">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B36D0E"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6A6AFACC" w14:textId="77777777" w:rsidR="003C665A" w:rsidRPr="00205CC9" w:rsidRDefault="003C665A" w:rsidP="003C665A">
            <w:pPr>
              <w:pStyle w:val="Default"/>
              <w:numPr>
                <w:ilvl w:val="0"/>
                <w:numId w:val="13"/>
              </w:numPr>
              <w:rPr>
                <w:sz w:val="20"/>
                <w:szCs w:val="20"/>
              </w:rPr>
            </w:pPr>
            <w:r w:rsidRPr="00205CC9">
              <w:rPr>
                <w:sz w:val="20"/>
                <w:szCs w:val="20"/>
              </w:rPr>
              <w:t>Arrêté royal du 29 juin 1984 relatif à l'organisation de l'enseignement secondaire (article 26).</w:t>
            </w:r>
          </w:p>
          <w:p w14:paraId="252443A5" w14:textId="77777777" w:rsidR="003C665A" w:rsidRPr="00C3768B" w:rsidRDefault="003C665A" w:rsidP="003C665A">
            <w:pPr>
              <w:pStyle w:val="Default"/>
              <w:numPr>
                <w:ilvl w:val="0"/>
                <w:numId w:val="13"/>
              </w:numPr>
              <w:rPr>
                <w:color w:val="auto"/>
                <w:sz w:val="20"/>
                <w:szCs w:val="20"/>
              </w:rPr>
            </w:pPr>
            <w:r w:rsidRPr="00C3768B">
              <w:rPr>
                <w:color w:val="auto"/>
                <w:sz w:val="20"/>
                <w:szCs w:val="20"/>
              </w:rPr>
              <w:t xml:space="preserve">Décret du 03 juillet 1991 organisant l’enseignement secondaire en alternance (article 2bis) </w:t>
            </w:r>
          </w:p>
          <w:p w14:paraId="7B43DB1E" w14:textId="2752794A" w:rsidR="003C665A" w:rsidRPr="00E02D97" w:rsidRDefault="003C665A" w:rsidP="003C665A">
            <w:pPr>
              <w:pStyle w:val="Default"/>
              <w:numPr>
                <w:ilvl w:val="0"/>
                <w:numId w:val="13"/>
              </w:numPr>
              <w:rPr>
                <w:color w:val="auto"/>
                <w:sz w:val="20"/>
                <w:szCs w:val="20"/>
              </w:rPr>
            </w:pPr>
            <w:r w:rsidRPr="00E02D97">
              <w:rPr>
                <w:color w:val="auto"/>
                <w:sz w:val="20"/>
                <w:szCs w:val="20"/>
              </w:rPr>
              <w:t>Arrêté du Gouvernement de la Communauté française du 27 juin 2018 définissant le profil de formation de l’ «</w:t>
            </w:r>
            <w:r w:rsidR="00E02D97" w:rsidRPr="00E02D97">
              <w:rPr>
                <w:color w:val="auto"/>
                <w:sz w:val="20"/>
                <w:szCs w:val="20"/>
              </w:rPr>
              <w:t xml:space="preserve"> Esthéticien social / Esthéticienne sociale </w:t>
            </w:r>
            <w:r w:rsidRPr="00E02D97">
              <w:rPr>
                <w:color w:val="auto"/>
                <w:sz w:val="20"/>
                <w:szCs w:val="20"/>
              </w:rPr>
              <w:t xml:space="preserve">» </w:t>
            </w:r>
          </w:p>
          <w:p w14:paraId="753A075B" w14:textId="77777777" w:rsidR="003C665A" w:rsidRPr="00420DE5" w:rsidRDefault="003C665A" w:rsidP="003C665A">
            <w:pPr>
              <w:pStyle w:val="Default"/>
              <w:numPr>
                <w:ilvl w:val="0"/>
                <w:numId w:val="13"/>
              </w:numPr>
              <w:spacing w:before="40" w:after="40"/>
              <w:rPr>
                <w:i/>
                <w:sz w:val="20"/>
                <w:szCs w:val="20"/>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3" w14:textId="77777777" w:rsidR="009A6914" w:rsidRDefault="009A6914">
            <w:pPr>
              <w:jc w:val="center"/>
              <w:rPr>
                <w:rFonts w:ascii="Arial" w:hAnsi="Arial"/>
                <w:lang w:val="fr-FR"/>
              </w:rPr>
            </w:pPr>
          </w:p>
          <w:p w14:paraId="5F2D79F4" w14:textId="77777777" w:rsidR="009A6914" w:rsidRDefault="009A6914">
            <w:pPr>
              <w:jc w:val="center"/>
              <w:rPr>
                <w:rFonts w:ascii="Arial" w:hAnsi="Arial"/>
                <w:i/>
                <w:lang w:val="fr-FR"/>
              </w:rPr>
            </w:pP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B36D0E" w14:paraId="5F2D79F9" w14:textId="77777777" w:rsidTr="00E02D97">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B36D0E" w14:paraId="5F2D79FB" w14:textId="77777777" w:rsidTr="00E02D97">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B36D0E" w14:paraId="5F2D79FF" w14:textId="77777777" w:rsidTr="00E02D97">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3" w14:textId="77777777" w:rsidTr="00E02D97">
        <w:trPr>
          <w:cantSplit/>
          <w:trHeight w:val="323"/>
        </w:trPr>
        <w:tc>
          <w:tcPr>
            <w:tcW w:w="3552" w:type="dxa"/>
            <w:tcBorders>
              <w:top w:val="nil"/>
              <w:bottom w:val="dotted" w:sz="4" w:space="0" w:color="auto"/>
              <w:right w:val="dotted" w:sz="4" w:space="0" w:color="auto"/>
            </w:tcBorders>
          </w:tcPr>
          <w:p w14:paraId="5F2D7A00" w14:textId="0AC86FEC" w:rsidR="009A6914" w:rsidRDefault="003B5D5B">
            <w:pPr>
              <w:spacing w:before="20" w:after="20"/>
              <w:jc w:val="center"/>
              <w:rPr>
                <w:rFonts w:ascii="Arial" w:hAnsi="Arial"/>
                <w:lang w:val="fr-FR"/>
              </w:rPr>
            </w:pPr>
            <w:r w:rsidRPr="00205CC9">
              <w:rPr>
                <w:rFonts w:ascii="Arial" w:hAnsi="Arial" w:cs="Arial"/>
                <w:sz w:val="22"/>
                <w:szCs w:val="22"/>
                <w:lang w:val="fr-BE"/>
              </w:rPr>
              <w:t>Enseignement secondaire de plein exercice</w:t>
            </w:r>
          </w:p>
        </w:tc>
        <w:tc>
          <w:tcPr>
            <w:tcW w:w="3480" w:type="dxa"/>
            <w:tcBorders>
              <w:top w:val="nil"/>
              <w:left w:val="dotted" w:sz="4" w:space="0" w:color="auto"/>
              <w:bottom w:val="dotted" w:sz="4" w:space="0" w:color="auto"/>
              <w:right w:val="dotted" w:sz="4" w:space="0" w:color="auto"/>
            </w:tcBorders>
          </w:tcPr>
          <w:p w14:paraId="5F2D7A01" w14:textId="4416A653" w:rsidR="009A6914" w:rsidRDefault="003B5D5B">
            <w:pPr>
              <w:spacing w:before="20" w:after="20"/>
              <w:jc w:val="center"/>
              <w:rPr>
                <w:rFonts w:ascii="Arial" w:hAnsi="Arial"/>
                <w:lang w:val="fr-FR"/>
              </w:rPr>
            </w:pPr>
            <w:r>
              <w:rPr>
                <w:rFonts w:ascii="Arial" w:hAnsi="Arial"/>
                <w:lang w:val="fr-FR"/>
              </w:rPr>
              <w:t>100 %</w:t>
            </w:r>
          </w:p>
        </w:tc>
        <w:tc>
          <w:tcPr>
            <w:tcW w:w="3318" w:type="dxa"/>
            <w:tcBorders>
              <w:top w:val="nil"/>
              <w:left w:val="dotted" w:sz="4" w:space="0" w:color="auto"/>
              <w:bottom w:val="dotted" w:sz="4" w:space="0" w:color="auto"/>
            </w:tcBorders>
          </w:tcPr>
          <w:p w14:paraId="5F2D7A02" w14:textId="3E79C2EA" w:rsidR="009A6914" w:rsidRDefault="00E02D97">
            <w:pPr>
              <w:spacing w:before="20" w:after="20"/>
              <w:jc w:val="center"/>
              <w:rPr>
                <w:rFonts w:ascii="Arial" w:hAnsi="Arial"/>
                <w:lang w:val="fr-FR"/>
              </w:rPr>
            </w:pPr>
            <w:r>
              <w:rPr>
                <w:rFonts w:ascii="Arial" w:hAnsi="Arial"/>
                <w:lang w:val="fr-FR"/>
              </w:rPr>
              <w:t>1</w:t>
            </w:r>
            <w:r w:rsidR="003B5D5B">
              <w:rPr>
                <w:rFonts w:ascii="Arial" w:hAnsi="Arial"/>
                <w:lang w:val="fr-FR"/>
              </w:rPr>
              <w:t xml:space="preserve"> an</w:t>
            </w:r>
          </w:p>
        </w:tc>
      </w:tr>
      <w:tr w:rsidR="009A6914" w14:paraId="5F2D7A07" w14:textId="77777777" w:rsidTr="00E02D97">
        <w:trPr>
          <w:cantSplit/>
          <w:trHeight w:val="350"/>
        </w:trPr>
        <w:tc>
          <w:tcPr>
            <w:tcW w:w="3552" w:type="dxa"/>
            <w:tcBorders>
              <w:top w:val="nil"/>
              <w:bottom w:val="dotted" w:sz="4" w:space="0" w:color="auto"/>
              <w:right w:val="dotted" w:sz="4" w:space="0" w:color="auto"/>
            </w:tcBorders>
          </w:tcPr>
          <w:p w14:paraId="5F2D7A04" w14:textId="0B3DA7DB" w:rsidR="009A6914" w:rsidRDefault="003B5D5B">
            <w:pPr>
              <w:spacing w:before="20" w:after="20"/>
              <w:jc w:val="center"/>
              <w:rPr>
                <w:rFonts w:ascii="Arial" w:hAnsi="Arial"/>
                <w:b/>
                <w:lang w:val="fr-FR"/>
              </w:rPr>
            </w:pPr>
            <w:r w:rsidRPr="00205CC9">
              <w:rPr>
                <w:rFonts w:ascii="Arial" w:hAnsi="Arial" w:cs="Arial"/>
                <w:sz w:val="22"/>
                <w:szCs w:val="22"/>
                <w:lang w:val="fr-BE"/>
              </w:rPr>
              <w:t>Enseignement secondaire en alternance</w:t>
            </w:r>
          </w:p>
        </w:tc>
        <w:tc>
          <w:tcPr>
            <w:tcW w:w="3480" w:type="dxa"/>
            <w:tcBorders>
              <w:top w:val="nil"/>
              <w:left w:val="dotted" w:sz="4" w:space="0" w:color="auto"/>
              <w:bottom w:val="dotted" w:sz="4" w:space="0" w:color="auto"/>
              <w:right w:val="dotted" w:sz="4" w:space="0" w:color="auto"/>
            </w:tcBorders>
          </w:tcPr>
          <w:p w14:paraId="7FC0245A" w14:textId="77777777" w:rsidR="003B5D5B" w:rsidRDefault="003B5D5B" w:rsidP="003B5D5B">
            <w:pPr>
              <w:spacing w:before="20" w:after="20"/>
              <w:jc w:val="center"/>
              <w:rPr>
                <w:rFonts w:ascii="Arial" w:hAnsi="Arial"/>
                <w:lang w:val="fr-FR"/>
              </w:rPr>
            </w:pPr>
            <w:r>
              <w:rPr>
                <w:rFonts w:ascii="Arial" w:hAnsi="Arial"/>
                <w:lang w:val="fr-FR"/>
              </w:rPr>
              <w:t>40 % en école</w:t>
            </w:r>
          </w:p>
          <w:p w14:paraId="5F2D7A05" w14:textId="093F7E78" w:rsidR="009A6914" w:rsidRDefault="003B5D5B" w:rsidP="003B5D5B">
            <w:pPr>
              <w:spacing w:before="20" w:after="20"/>
              <w:jc w:val="center"/>
              <w:rPr>
                <w:rFonts w:ascii="Arial" w:hAnsi="Arial"/>
                <w:lang w:val="fr-FR"/>
              </w:rPr>
            </w:pPr>
            <w:r>
              <w:rPr>
                <w:rFonts w:ascii="Arial" w:hAnsi="Arial"/>
                <w:lang w:val="fr-FR"/>
              </w:rPr>
              <w:t>60 % en entreprise</w:t>
            </w:r>
          </w:p>
        </w:tc>
        <w:tc>
          <w:tcPr>
            <w:tcW w:w="3318" w:type="dxa"/>
            <w:tcBorders>
              <w:top w:val="nil"/>
              <w:left w:val="dotted" w:sz="4" w:space="0" w:color="auto"/>
              <w:bottom w:val="dotted" w:sz="4" w:space="0" w:color="auto"/>
            </w:tcBorders>
          </w:tcPr>
          <w:p w14:paraId="5F2D7A06" w14:textId="3064E1F1" w:rsidR="009A6914" w:rsidRDefault="00E02D97">
            <w:pPr>
              <w:spacing w:before="20" w:after="20"/>
              <w:jc w:val="center"/>
              <w:rPr>
                <w:rFonts w:ascii="Arial" w:hAnsi="Arial"/>
                <w:lang w:val="fr-FR"/>
              </w:rPr>
            </w:pPr>
            <w:r>
              <w:rPr>
                <w:rFonts w:ascii="Arial" w:hAnsi="Arial"/>
                <w:lang w:val="fr-FR"/>
              </w:rPr>
              <w:t>1</w:t>
            </w:r>
            <w:r w:rsidR="003B5D5B">
              <w:rPr>
                <w:rFonts w:ascii="Arial" w:hAnsi="Arial"/>
                <w:lang w:val="fr-FR"/>
              </w:rPr>
              <w:t xml:space="preserve"> an</w:t>
            </w:r>
          </w:p>
        </w:tc>
      </w:tr>
      <w:tr w:rsidR="009A6914" w14:paraId="5F2D7A0E" w14:textId="77777777" w:rsidTr="00E02D97">
        <w:trPr>
          <w:cantSplit/>
          <w:trHeight w:val="320"/>
        </w:trPr>
        <w:tc>
          <w:tcPr>
            <w:tcW w:w="7032" w:type="dxa"/>
            <w:gridSpan w:val="2"/>
            <w:tcBorders>
              <w:top w:val="single" w:sz="4" w:space="0" w:color="auto"/>
              <w:bottom w:val="nil"/>
            </w:tcBorders>
          </w:tcPr>
          <w:p w14:paraId="5F2D7A0C" w14:textId="77777777" w:rsidR="009A6914" w:rsidRDefault="001633A8">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F2D7A0D" w14:textId="79C70AD2" w:rsidR="009A6914" w:rsidRDefault="00E02D97">
            <w:pPr>
              <w:spacing w:before="20" w:after="20"/>
              <w:jc w:val="center"/>
              <w:rPr>
                <w:rFonts w:ascii="Arial" w:hAnsi="Arial"/>
                <w:lang w:val="fr-FR"/>
              </w:rPr>
            </w:pPr>
            <w:r>
              <w:rPr>
                <w:rFonts w:ascii="Arial" w:hAnsi="Arial"/>
                <w:lang w:val="fr-FR"/>
              </w:rPr>
              <w:t>1</w:t>
            </w:r>
            <w:r w:rsidR="003B5D5B">
              <w:rPr>
                <w:rFonts w:ascii="Arial" w:hAnsi="Arial"/>
                <w:lang w:val="fr-FR"/>
              </w:rPr>
              <w:t xml:space="preserve"> an</w:t>
            </w:r>
          </w:p>
        </w:tc>
      </w:tr>
      <w:tr w:rsidR="009A6914" w:rsidRPr="00B36D0E" w14:paraId="5F2D7A17" w14:textId="77777777" w:rsidTr="00E02D97">
        <w:trPr>
          <w:trHeight w:val="3515"/>
        </w:trPr>
        <w:tc>
          <w:tcPr>
            <w:tcW w:w="10350" w:type="dxa"/>
            <w:gridSpan w:val="3"/>
            <w:tcBorders>
              <w:top w:val="nil"/>
            </w:tcBorders>
          </w:tcPr>
          <w:p w14:paraId="5F2D7A10" w14:textId="22BD81DB" w:rsidR="009A6914" w:rsidRDefault="001633A8">
            <w:pPr>
              <w:spacing w:before="40" w:after="40"/>
              <w:rPr>
                <w:rFonts w:ascii="Arial" w:hAnsi="Arial" w:cs="Arial"/>
                <w:b/>
                <w:bCs/>
                <w:color w:val="000000"/>
                <w:lang w:val="fr-BE" w:eastAsia="fr-BE"/>
              </w:rPr>
            </w:pPr>
            <w:r w:rsidRPr="00C36A36">
              <w:rPr>
                <w:rFonts w:ascii="Arial" w:hAnsi="Arial" w:cs="Arial"/>
                <w:b/>
                <w:bCs/>
                <w:color w:val="000000"/>
                <w:lang w:val="fr-BE" w:eastAsia="fr-BE"/>
              </w:rPr>
              <w:lastRenderedPageBreak/>
              <w:t>Niveau d’entrée requis</w:t>
            </w:r>
          </w:p>
          <w:p w14:paraId="5B2B628F" w14:textId="77777777" w:rsidR="00C36A36" w:rsidRPr="00C36A36" w:rsidRDefault="00C36A36">
            <w:pPr>
              <w:spacing w:before="40" w:after="40"/>
              <w:rPr>
                <w:rFonts w:ascii="Arial" w:hAnsi="Arial" w:cs="Arial"/>
                <w:b/>
                <w:bCs/>
                <w:color w:val="000000"/>
                <w:lang w:val="fr-BE" w:eastAsia="fr-BE"/>
              </w:rPr>
            </w:pPr>
          </w:p>
          <w:p w14:paraId="1DE49971" w14:textId="35798300" w:rsidR="00E02D97" w:rsidRPr="00E02D97" w:rsidRDefault="00E02D97" w:rsidP="00E02D97">
            <w:pPr>
              <w:spacing w:before="40" w:after="40"/>
              <w:rPr>
                <w:rFonts w:ascii="Arial" w:hAnsi="Arial" w:cs="Arial"/>
                <w:color w:val="000000"/>
                <w:lang w:val="fr-BE" w:eastAsia="fr-BE"/>
              </w:rPr>
            </w:pPr>
            <w:r w:rsidRPr="00E02D97">
              <w:rPr>
                <w:rFonts w:ascii="Arial" w:hAnsi="Arial" w:cs="Arial"/>
                <w:color w:val="000000"/>
                <w:lang w:val="fr-BE" w:eastAsia="fr-BE"/>
              </w:rPr>
              <w:t xml:space="preserve">Peuvent être admis en 7TQ </w:t>
            </w:r>
            <w:r>
              <w:rPr>
                <w:rFonts w:ascii="Arial" w:hAnsi="Arial" w:cs="Arial"/>
                <w:color w:val="000000"/>
                <w:lang w:val="fr-BE" w:eastAsia="fr-BE"/>
              </w:rPr>
              <w:t>Esthéticien social / Esthéticienne sociale</w:t>
            </w:r>
            <w:r w:rsidRPr="00E02D97">
              <w:rPr>
                <w:rFonts w:ascii="Arial" w:hAnsi="Arial" w:cs="Arial"/>
                <w:color w:val="000000"/>
                <w:lang w:val="fr-BE" w:eastAsia="fr-BE"/>
              </w:rPr>
              <w:t xml:space="preserve">, dans l’enseignement secondaire ordinaire ou dans l’enseignement en alternance (art.49,) les élèves porteurs du certificat de qualification de la 6TQ </w:t>
            </w:r>
            <w:r>
              <w:rPr>
                <w:rFonts w:ascii="Arial" w:hAnsi="Arial" w:cs="Arial"/>
                <w:color w:val="000000"/>
                <w:lang w:val="fr-BE" w:eastAsia="fr-BE"/>
              </w:rPr>
              <w:t xml:space="preserve">Esthéticien / Esthéticienne </w:t>
            </w:r>
            <w:r w:rsidRPr="00E02D97">
              <w:rPr>
                <w:rFonts w:ascii="Arial" w:hAnsi="Arial" w:cs="Arial"/>
                <w:color w:val="000000"/>
                <w:lang w:val="fr-BE" w:eastAsia="fr-BE"/>
              </w:rPr>
              <w:t>et du CESS.</w:t>
            </w:r>
          </w:p>
          <w:p w14:paraId="65DF5319" w14:textId="77777777" w:rsidR="00E02D97" w:rsidRPr="00E02D97" w:rsidRDefault="00E02D97" w:rsidP="00E02D97">
            <w:pPr>
              <w:spacing w:before="40" w:after="40"/>
              <w:rPr>
                <w:rFonts w:ascii="Arial" w:hAnsi="Arial" w:cs="Arial"/>
                <w:color w:val="000000"/>
                <w:lang w:val="fr-BE" w:eastAsia="fr-BE"/>
              </w:rPr>
            </w:pPr>
          </w:p>
          <w:p w14:paraId="4383D81F" w14:textId="77777777" w:rsidR="00E02D97" w:rsidRPr="00E02D97" w:rsidRDefault="00E02D97" w:rsidP="00E02D97">
            <w:pPr>
              <w:autoSpaceDE w:val="0"/>
              <w:autoSpaceDN w:val="0"/>
              <w:adjustRightInd w:val="0"/>
              <w:jc w:val="both"/>
              <w:rPr>
                <w:rFonts w:ascii="Arial" w:hAnsi="Arial" w:cs="Arial"/>
                <w:color w:val="000000"/>
                <w:lang w:val="fr-BE" w:eastAsia="fr-BE"/>
              </w:rPr>
            </w:pPr>
            <w:r w:rsidRPr="00E02D97">
              <w:rPr>
                <w:rFonts w:ascii="Arial" w:hAnsi="Arial" w:cs="Arial"/>
                <w:color w:val="000000"/>
                <w:lang w:val="fr-BE" w:eastAsia="fr-BE"/>
              </w:rPr>
              <w:t>Pour autant qu’ils répondent aux des conditions énumérées ci-dessus, peuvent être inscrits en 7e TQ en alternance (art. 49) :</w:t>
            </w:r>
          </w:p>
          <w:p w14:paraId="340708A3" w14:textId="77777777" w:rsidR="00E02D97" w:rsidRPr="00E02D97" w:rsidRDefault="00E02D97" w:rsidP="00E02D97">
            <w:pPr>
              <w:pStyle w:val="Paragraphedeliste"/>
              <w:numPr>
                <w:ilvl w:val="0"/>
                <w:numId w:val="10"/>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les élèves majeurs de plus de 18 ans et de moins de 21 ans au 31 décembre de l’année civile en cours sous réserve d’avoir conclu soit :</w:t>
            </w:r>
          </w:p>
          <w:p w14:paraId="0CE313DC" w14:textId="77777777" w:rsidR="00E02D97" w:rsidRPr="00E02D97" w:rsidRDefault="00E02D97" w:rsidP="00E02D97">
            <w:pPr>
              <w:pStyle w:val="Paragraphedeliste"/>
              <w:numPr>
                <w:ilvl w:val="0"/>
                <w:numId w:val="9"/>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un contrat d’alternance ;</w:t>
            </w:r>
          </w:p>
          <w:p w14:paraId="7E7D8CB3" w14:textId="77777777" w:rsidR="00E02D97" w:rsidRPr="00E02D97" w:rsidRDefault="00E02D97" w:rsidP="00E02D97">
            <w:pPr>
              <w:pStyle w:val="Paragraphedeliste"/>
              <w:numPr>
                <w:ilvl w:val="0"/>
                <w:numId w:val="9"/>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un contrat d’apprentissage de professions exercées par des travailleurs salariés ;</w:t>
            </w:r>
          </w:p>
          <w:p w14:paraId="318BAE8E" w14:textId="77777777" w:rsidR="00E02D97" w:rsidRPr="00E02D97" w:rsidRDefault="00E02D97" w:rsidP="00E02D97">
            <w:pPr>
              <w:pStyle w:val="Paragraphedeliste"/>
              <w:numPr>
                <w:ilvl w:val="0"/>
                <w:numId w:val="9"/>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 xml:space="preserve">une convention de premier emploi de </w:t>
            </w:r>
            <w:proofErr w:type="gramStart"/>
            <w:r w:rsidRPr="00E02D97">
              <w:rPr>
                <w:rFonts w:ascii="Arial" w:eastAsia="Times New Roman" w:hAnsi="Arial" w:cs="Arial"/>
                <w:color w:val="000000"/>
                <w:sz w:val="20"/>
                <w:szCs w:val="20"/>
                <w:lang w:eastAsia="fr-BE"/>
              </w:rPr>
              <w:t>type</w:t>
            </w:r>
            <w:proofErr w:type="gramEnd"/>
            <w:r w:rsidRPr="00E02D97">
              <w:rPr>
                <w:rFonts w:ascii="Arial" w:eastAsia="Times New Roman" w:hAnsi="Arial" w:cs="Arial"/>
                <w:color w:val="000000"/>
                <w:sz w:val="20"/>
                <w:szCs w:val="20"/>
                <w:lang w:eastAsia="fr-BE"/>
              </w:rPr>
              <w:t xml:space="preserve"> 2 ou 3 liée à un contrat de travail (CDD, CDI) ;</w:t>
            </w:r>
          </w:p>
          <w:p w14:paraId="56B45D6B" w14:textId="77777777" w:rsidR="00E02D97" w:rsidRPr="00E02D97" w:rsidRDefault="00E02D97" w:rsidP="00E02D97">
            <w:pPr>
              <w:pStyle w:val="Paragraphedeliste"/>
              <w:numPr>
                <w:ilvl w:val="0"/>
                <w:numId w:val="9"/>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070B7EC" w14:textId="77777777" w:rsidR="00E02D97" w:rsidRPr="00E02D97" w:rsidRDefault="00E02D97" w:rsidP="00E02D97">
            <w:pPr>
              <w:autoSpaceDE w:val="0"/>
              <w:autoSpaceDN w:val="0"/>
              <w:adjustRightInd w:val="0"/>
              <w:jc w:val="both"/>
              <w:rPr>
                <w:rFonts w:ascii="Arial" w:hAnsi="Arial" w:cs="Arial"/>
                <w:color w:val="000000"/>
                <w:lang w:val="fr-BE" w:eastAsia="fr-BE"/>
              </w:rPr>
            </w:pPr>
          </w:p>
          <w:p w14:paraId="5F4CC1B5" w14:textId="2EAF3850" w:rsidR="00E02D97" w:rsidRPr="00E02D97" w:rsidRDefault="00E02D97" w:rsidP="00E02D97">
            <w:pPr>
              <w:pStyle w:val="Paragraphedeliste"/>
              <w:numPr>
                <w:ilvl w:val="0"/>
                <w:numId w:val="10"/>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les élèves majeurs de plus de 21 ans et de moins de 25 ans au 31 décembre de l’année</w:t>
            </w:r>
            <w:r>
              <w:rPr>
                <w:rFonts w:ascii="Arial" w:eastAsia="Times New Roman" w:hAnsi="Arial" w:cs="Arial"/>
                <w:color w:val="000000"/>
                <w:sz w:val="20"/>
                <w:szCs w:val="20"/>
                <w:lang w:eastAsia="fr-BE"/>
              </w:rPr>
              <w:t xml:space="preserve"> </w:t>
            </w:r>
            <w:r w:rsidRPr="00E02D97">
              <w:rPr>
                <w:rFonts w:ascii="Arial" w:eastAsia="Times New Roman" w:hAnsi="Arial" w:cs="Arial"/>
                <w:color w:val="000000"/>
                <w:sz w:val="20"/>
                <w:szCs w:val="20"/>
                <w:lang w:eastAsia="fr-BE"/>
              </w:rPr>
              <w:t>civile en cours qui bénéficient de l’enseignement secondaire en alternance depuis le 1er octobre de l’année où ils atteignent l’âge de 21 ans et qui ont conclu soit :</w:t>
            </w:r>
          </w:p>
          <w:p w14:paraId="1EB028F4" w14:textId="77777777" w:rsidR="00E02D97" w:rsidRPr="00E02D97" w:rsidRDefault="00E02D97" w:rsidP="00E02D97">
            <w:pPr>
              <w:pStyle w:val="Paragraphedeliste"/>
              <w:numPr>
                <w:ilvl w:val="0"/>
                <w:numId w:val="11"/>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un contrat d’alternance ;</w:t>
            </w:r>
          </w:p>
          <w:p w14:paraId="671FD734" w14:textId="77777777" w:rsidR="00E02D97" w:rsidRPr="00E02D97" w:rsidRDefault="00E02D97" w:rsidP="00E02D97">
            <w:pPr>
              <w:pStyle w:val="Paragraphedeliste"/>
              <w:numPr>
                <w:ilvl w:val="0"/>
                <w:numId w:val="11"/>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un contrat d’apprentissage de professions exercées par des travailleurs salariés ;</w:t>
            </w:r>
          </w:p>
          <w:p w14:paraId="4B8FD96E" w14:textId="77777777" w:rsidR="00E02D97" w:rsidRPr="00E02D97" w:rsidRDefault="00E02D97" w:rsidP="00E02D97">
            <w:pPr>
              <w:pStyle w:val="Paragraphedeliste"/>
              <w:numPr>
                <w:ilvl w:val="0"/>
                <w:numId w:val="11"/>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 xml:space="preserve">une convention de premier emploi de </w:t>
            </w:r>
            <w:proofErr w:type="gramStart"/>
            <w:r w:rsidRPr="00E02D97">
              <w:rPr>
                <w:rFonts w:ascii="Arial" w:eastAsia="Times New Roman" w:hAnsi="Arial" w:cs="Arial"/>
                <w:color w:val="000000"/>
                <w:sz w:val="20"/>
                <w:szCs w:val="20"/>
                <w:lang w:eastAsia="fr-BE"/>
              </w:rPr>
              <w:t>type</w:t>
            </w:r>
            <w:proofErr w:type="gramEnd"/>
            <w:r w:rsidRPr="00E02D97">
              <w:rPr>
                <w:rFonts w:ascii="Arial" w:eastAsia="Times New Roman" w:hAnsi="Arial" w:cs="Arial"/>
                <w:color w:val="000000"/>
                <w:sz w:val="20"/>
                <w:szCs w:val="20"/>
                <w:lang w:eastAsia="fr-BE"/>
              </w:rPr>
              <w:t xml:space="preserve"> 2 ou 3 liée à un contrat de travail (CDD, CDI) ;</w:t>
            </w:r>
          </w:p>
          <w:p w14:paraId="68952E3F" w14:textId="77777777" w:rsidR="00E02D97" w:rsidRPr="00E02D97" w:rsidRDefault="00E02D97" w:rsidP="00E02D97">
            <w:pPr>
              <w:pStyle w:val="Paragraphedeliste"/>
              <w:numPr>
                <w:ilvl w:val="0"/>
                <w:numId w:val="11"/>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3E1C0632" w14:textId="77777777" w:rsidR="00E02D97" w:rsidRPr="00E02D97" w:rsidRDefault="00E02D97" w:rsidP="00E02D97">
            <w:pPr>
              <w:pStyle w:val="Paragraphedeliste"/>
              <w:ind w:left="1068"/>
              <w:jc w:val="both"/>
              <w:rPr>
                <w:rFonts w:ascii="Arial" w:eastAsia="Times New Roman" w:hAnsi="Arial" w:cs="Arial"/>
                <w:color w:val="000000"/>
                <w:sz w:val="20"/>
                <w:szCs w:val="20"/>
                <w:lang w:eastAsia="fr-BE"/>
              </w:rPr>
            </w:pPr>
          </w:p>
          <w:p w14:paraId="542687CD" w14:textId="77777777" w:rsidR="00E02D97" w:rsidRPr="00E02D97" w:rsidRDefault="00E02D97" w:rsidP="00E02D97">
            <w:pPr>
              <w:pStyle w:val="Paragraphedeliste"/>
              <w:numPr>
                <w:ilvl w:val="0"/>
                <w:numId w:val="10"/>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6534A2EE" w14:textId="77777777" w:rsidR="00E02D97" w:rsidRPr="00E02D97" w:rsidRDefault="00E02D97" w:rsidP="00E02D97">
            <w:pPr>
              <w:pStyle w:val="Paragraphedeliste"/>
              <w:numPr>
                <w:ilvl w:val="0"/>
                <w:numId w:val="12"/>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un contrat d’alternance ;</w:t>
            </w:r>
          </w:p>
          <w:p w14:paraId="2F5B6E09" w14:textId="77777777" w:rsidR="00E02D97" w:rsidRPr="00E02D97" w:rsidRDefault="00E02D97" w:rsidP="00E02D97">
            <w:pPr>
              <w:pStyle w:val="Paragraphedeliste"/>
              <w:numPr>
                <w:ilvl w:val="0"/>
                <w:numId w:val="12"/>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un contrat d’apprentissage de professions exercées par des travailleurs salariés ;</w:t>
            </w:r>
          </w:p>
          <w:p w14:paraId="6199267C" w14:textId="77777777" w:rsidR="00E02D97" w:rsidRPr="00E02D97" w:rsidRDefault="00E02D97" w:rsidP="00E02D97">
            <w:pPr>
              <w:pStyle w:val="Paragraphedeliste"/>
              <w:numPr>
                <w:ilvl w:val="0"/>
                <w:numId w:val="12"/>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 xml:space="preserve">une convention de premier emploi de </w:t>
            </w:r>
            <w:proofErr w:type="gramStart"/>
            <w:r w:rsidRPr="00E02D97">
              <w:rPr>
                <w:rFonts w:ascii="Arial" w:eastAsia="Times New Roman" w:hAnsi="Arial" w:cs="Arial"/>
                <w:color w:val="000000"/>
                <w:sz w:val="20"/>
                <w:szCs w:val="20"/>
                <w:lang w:eastAsia="fr-BE"/>
              </w:rPr>
              <w:t>type</w:t>
            </w:r>
            <w:proofErr w:type="gramEnd"/>
            <w:r w:rsidRPr="00E02D97">
              <w:rPr>
                <w:rFonts w:ascii="Arial" w:eastAsia="Times New Roman" w:hAnsi="Arial" w:cs="Arial"/>
                <w:color w:val="000000"/>
                <w:sz w:val="20"/>
                <w:szCs w:val="20"/>
                <w:lang w:eastAsia="fr-BE"/>
              </w:rPr>
              <w:t xml:space="preserve"> 2 ou 3 liée à un contrat de travail (CDD, CDI) ;</w:t>
            </w:r>
          </w:p>
          <w:p w14:paraId="4B664D5F" w14:textId="77777777" w:rsidR="00E02D97" w:rsidRPr="00E02D97" w:rsidRDefault="00E02D97" w:rsidP="00E02D97">
            <w:pPr>
              <w:pStyle w:val="Paragraphedeliste"/>
              <w:numPr>
                <w:ilvl w:val="0"/>
                <w:numId w:val="12"/>
              </w:numPr>
              <w:autoSpaceDE w:val="0"/>
              <w:autoSpaceDN w:val="0"/>
              <w:adjustRightInd w:val="0"/>
              <w:jc w:val="both"/>
              <w:rPr>
                <w:rFonts w:ascii="Arial" w:eastAsia="Times New Roman" w:hAnsi="Arial" w:cs="Arial"/>
                <w:color w:val="000000"/>
                <w:sz w:val="20"/>
                <w:szCs w:val="20"/>
                <w:lang w:eastAsia="fr-BE"/>
              </w:rPr>
            </w:pPr>
            <w:r w:rsidRPr="00E02D97">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5F2D7A13" w14:textId="77777777" w:rsidR="009A6914" w:rsidRPr="00E02D97" w:rsidRDefault="009A6914">
            <w:pPr>
              <w:spacing w:before="40" w:after="40"/>
              <w:rPr>
                <w:rFonts w:ascii="Arial" w:hAnsi="Arial" w:cs="Arial"/>
                <w:color w:val="000000"/>
                <w:lang w:val="fr-BE" w:eastAsia="fr-BE"/>
              </w:rPr>
            </w:pPr>
          </w:p>
          <w:p w14:paraId="5F2D7A14" w14:textId="77777777" w:rsidR="009A6914" w:rsidRPr="00E02D97" w:rsidRDefault="001633A8">
            <w:pPr>
              <w:spacing w:before="40" w:after="40"/>
              <w:rPr>
                <w:rFonts w:ascii="Arial" w:hAnsi="Arial" w:cs="Arial"/>
                <w:color w:val="000000"/>
                <w:lang w:val="fr-BE" w:eastAsia="fr-BE"/>
              </w:rPr>
            </w:pPr>
            <w:r w:rsidRPr="00E02D97">
              <w:rPr>
                <w:rFonts w:ascii="Arial" w:hAnsi="Arial" w:cs="Arial"/>
                <w:color w:val="000000"/>
                <w:lang w:val="fr-BE" w:eastAsia="fr-BE"/>
              </w:rPr>
              <w:t>Information complémentaire</w:t>
            </w:r>
          </w:p>
          <w:p w14:paraId="5F2D7A15" w14:textId="77777777" w:rsidR="009A6914" w:rsidRPr="00E02D97" w:rsidRDefault="009A6914">
            <w:pPr>
              <w:rPr>
                <w:rFonts w:ascii="Arial" w:hAnsi="Arial" w:cs="Arial"/>
                <w:color w:val="000000"/>
                <w:lang w:val="fr-BE" w:eastAsia="fr-BE"/>
              </w:rPr>
            </w:pPr>
          </w:p>
          <w:p w14:paraId="5F2D7A16" w14:textId="77777777" w:rsidR="009A6914" w:rsidRPr="00E02D97" w:rsidRDefault="001633A8">
            <w:pPr>
              <w:rPr>
                <w:rFonts w:ascii="Arial" w:hAnsi="Arial" w:cs="Arial"/>
                <w:color w:val="000000"/>
                <w:lang w:val="fr-BE" w:eastAsia="fr-BE"/>
              </w:rPr>
            </w:pPr>
            <w:r w:rsidRPr="00E02D97">
              <w:rPr>
                <w:rFonts w:ascii="Arial" w:hAnsi="Arial" w:cs="Arial"/>
                <w:color w:val="000000"/>
                <w:lang w:val="fr-BE" w:eastAsia="fr-BE"/>
              </w:rPr>
              <w:t>www.europass.eu</w:t>
            </w:r>
          </w:p>
        </w:tc>
      </w:tr>
    </w:tbl>
    <w:p w14:paraId="5F2D7A18" w14:textId="77777777" w:rsidR="009A6914" w:rsidRDefault="009A6914">
      <w:pPr>
        <w:jc w:val="center"/>
        <w:rPr>
          <w:rFonts w:ascii="Arial" w:hAnsi="Arial"/>
          <w:lang w:val="fr-FR"/>
        </w:rPr>
      </w:pPr>
    </w:p>
    <w:sectPr w:rsidR="009A691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8E215" w14:textId="77777777" w:rsidR="00646D7F" w:rsidRDefault="00646D7F">
      <w:r>
        <w:separator/>
      </w:r>
    </w:p>
  </w:endnote>
  <w:endnote w:type="continuationSeparator" w:id="0">
    <w:p w14:paraId="6C9CF5FA" w14:textId="77777777" w:rsidR="00646D7F" w:rsidRDefault="0064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4" w14:textId="77777777" w:rsidR="009A6914" w:rsidRDefault="009A6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5" w14:textId="77777777" w:rsidR="009A6914" w:rsidRDefault="009A69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C1739" w14:textId="77777777" w:rsidR="00646D7F" w:rsidRDefault="00646D7F">
      <w:r>
        <w:separator/>
      </w:r>
    </w:p>
  </w:footnote>
  <w:footnote w:type="continuationSeparator" w:id="0">
    <w:p w14:paraId="31D34784" w14:textId="77777777" w:rsidR="00646D7F" w:rsidRDefault="00646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2" w14:textId="77777777" w:rsidR="009A6914" w:rsidRDefault="009A69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6" w14:textId="77777777" w:rsidR="009A6914" w:rsidRDefault="009A69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5"/>
  </w:num>
  <w:num w:numId="2">
    <w:abstractNumId w:val="10"/>
  </w:num>
  <w:num w:numId="3">
    <w:abstractNumId w:val="9"/>
  </w:num>
  <w:num w:numId="4">
    <w:abstractNumId w:val="3"/>
  </w:num>
  <w:num w:numId="5">
    <w:abstractNumId w:val="8"/>
  </w:num>
  <w:num w:numId="6">
    <w:abstractNumId w:val="6"/>
  </w:num>
  <w:num w:numId="7">
    <w:abstractNumId w:val="1"/>
  </w:num>
  <w:num w:numId="8">
    <w:abstractNumId w:val="1"/>
  </w:num>
  <w:num w:numId="9">
    <w:abstractNumId w:val="4"/>
  </w:num>
  <w:num w:numId="10">
    <w:abstractNumId w:val="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4"/>
    <w:rsid w:val="001633A8"/>
    <w:rsid w:val="002A2427"/>
    <w:rsid w:val="00357CD5"/>
    <w:rsid w:val="003A1818"/>
    <w:rsid w:val="003B5D5B"/>
    <w:rsid w:val="003C46C4"/>
    <w:rsid w:val="003C665A"/>
    <w:rsid w:val="004E75ED"/>
    <w:rsid w:val="004F03A0"/>
    <w:rsid w:val="00543460"/>
    <w:rsid w:val="00646D7F"/>
    <w:rsid w:val="006C1684"/>
    <w:rsid w:val="006E2ED4"/>
    <w:rsid w:val="006F4402"/>
    <w:rsid w:val="00783CFE"/>
    <w:rsid w:val="008804B1"/>
    <w:rsid w:val="009260E3"/>
    <w:rsid w:val="009A6914"/>
    <w:rsid w:val="00A14FE3"/>
    <w:rsid w:val="00A9248C"/>
    <w:rsid w:val="00B36D0E"/>
    <w:rsid w:val="00BF7C74"/>
    <w:rsid w:val="00C36A36"/>
    <w:rsid w:val="00C3768B"/>
    <w:rsid w:val="00C80B82"/>
    <w:rsid w:val="00DA58F1"/>
    <w:rsid w:val="00DF580B"/>
    <w:rsid w:val="00E02D97"/>
    <w:rsid w:val="00EB5DEB"/>
    <w:rsid w:val="00FD61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package" Target="embeddings/Document_Microsoft_Word1.docx"/><Relationship Id="rId17" Type="http://schemas.openxmlformats.org/officeDocument/2006/relationships/hyperlink" Target="http://www.federation-wallonie-bruxelles.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3.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202093-A0CE-4842-B1CF-19823019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1036</Words>
  <Characters>6094</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SOUMOY Vincent</cp:lastModifiedBy>
  <cp:revision>10</cp:revision>
  <cp:lastPrinted>2003-10-16T15:04:00Z</cp:lastPrinted>
  <dcterms:created xsi:type="dcterms:W3CDTF">2021-03-05T13:16:00Z</dcterms:created>
  <dcterms:modified xsi:type="dcterms:W3CDTF">2022-01-21T07:37:00Z</dcterms:modified>
</cp:coreProperties>
</file>