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243D39" w:rsidTr="00885A18">
        <w:trPr>
          <w:cantSplit/>
          <w:trHeight w:val="851"/>
        </w:trPr>
        <w:tc>
          <w:tcPr>
            <w:tcW w:w="2127" w:type="dxa"/>
          </w:tcPr>
          <w:p w:rsidR="00243D39" w:rsidRDefault="00243D39" w:rsidP="00885A18">
            <w:pPr>
              <w:jc w:val="center"/>
              <w:rPr>
                <w:rFonts w:cs="Arial"/>
                <w:sz w:val="20"/>
                <w:szCs w:val="20"/>
                <w:lang w:eastAsia="en-GB"/>
              </w:rPr>
            </w:pPr>
            <w:r>
              <w:rPr>
                <w:rFonts w:cs="Arial"/>
              </w:rPr>
              <w:t xml:space="preserve">     </w:t>
            </w:r>
            <w:r>
              <w:rPr>
                <w:rFonts w:cs="Arial"/>
                <w:noProof/>
                <w:sz w:val="20"/>
                <w:szCs w:val="20"/>
                <w:lang w:val="fr-BE" w:eastAsia="fr-BE"/>
              </w:rPr>
              <w:drawing>
                <wp:anchor distT="0" distB="0" distL="114300" distR="114300" simplePos="0" relativeHeight="251661312" behindDoc="1" locked="0" layoutInCell="1" allowOverlap="1" wp14:anchorId="0DB908EC" wp14:editId="0E98110A">
                  <wp:simplePos x="0" y="0"/>
                  <wp:positionH relativeFrom="column">
                    <wp:posOffset>-84833</wp:posOffset>
                  </wp:positionH>
                  <wp:positionV relativeFrom="paragraph">
                    <wp:posOffset>1808</wp:posOffset>
                  </wp:positionV>
                  <wp:extent cx="1275347" cy="624943"/>
                  <wp:effectExtent l="0" t="0" r="1270" b="3810"/>
                  <wp:wrapNone/>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243D39" w:rsidRDefault="00243D39" w:rsidP="00885A18">
            <w:pPr>
              <w:ind w:left="-135"/>
              <w:jc w:val="center"/>
              <w:rPr>
                <w:rFonts w:cs="Arial"/>
                <w:b/>
                <w:spacing w:val="-9"/>
                <w:sz w:val="36"/>
                <w:szCs w:val="34"/>
                <w:lang w:eastAsia="en-GB"/>
              </w:rPr>
            </w:pPr>
            <w:r>
              <w:rPr>
                <w:rFonts w:cs="Arial"/>
                <w:b/>
                <w:spacing w:val="-9"/>
                <w:sz w:val="36"/>
                <w:szCs w:val="34"/>
                <w:lang w:eastAsia="en-GB"/>
              </w:rPr>
              <w:t>Supplément au certificat Europass</w:t>
            </w:r>
            <w:r>
              <w:rPr>
                <w:rFonts w:cs="Arial"/>
                <w:spacing w:val="-9"/>
                <w:sz w:val="36"/>
                <w:szCs w:val="34"/>
                <w:vertAlign w:val="superscript"/>
                <w:lang w:eastAsia="en-GB"/>
              </w:rPr>
              <w:t>(*)</w:t>
            </w:r>
          </w:p>
        </w:tc>
        <w:tc>
          <w:tcPr>
            <w:tcW w:w="1985" w:type="dxa"/>
          </w:tcPr>
          <w:p w:rsidR="00243D39" w:rsidRDefault="00243D39" w:rsidP="00885A18">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0288" behindDoc="1" locked="0" layoutInCell="1" allowOverlap="1" wp14:anchorId="7AD27529" wp14:editId="76E59F80">
                  <wp:simplePos x="0" y="0"/>
                  <wp:positionH relativeFrom="column">
                    <wp:posOffset>48260</wp:posOffset>
                  </wp:positionH>
                  <wp:positionV relativeFrom="paragraph">
                    <wp:posOffset>39</wp:posOffset>
                  </wp:positionV>
                  <wp:extent cx="564515" cy="570865"/>
                  <wp:effectExtent l="0" t="0" r="6985"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70553965" r:id="rId8"/>
              </w:object>
            </w:r>
          </w:p>
          <w:p w:rsidR="00243D39" w:rsidRDefault="00243D39" w:rsidP="00885A18">
            <w:pPr>
              <w:tabs>
                <w:tab w:val="center" w:pos="1472"/>
              </w:tabs>
              <w:rPr>
                <w:rFonts w:cs="Arial"/>
                <w:bCs/>
                <w:sz w:val="20"/>
                <w:szCs w:val="20"/>
                <w:lang w:eastAsia="en-GB"/>
              </w:rPr>
            </w:pPr>
            <w:r>
              <w:rPr>
                <w:rFonts w:cs="Arial"/>
                <w:sz w:val="16"/>
                <w:szCs w:val="20"/>
                <w:lang w:val="en-GB" w:eastAsia="en-GB"/>
              </w:rPr>
              <w:t xml:space="preserve">  </w:t>
            </w:r>
          </w:p>
        </w:tc>
      </w:tr>
    </w:tbl>
    <w:p w:rsidR="00243D39" w:rsidRDefault="00243D39" w:rsidP="00243D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43D39" w:rsidTr="00885A18">
        <w:tc>
          <w:tcPr>
            <w:tcW w:w="10350" w:type="dxa"/>
          </w:tcPr>
          <w:p w:rsidR="00243D39" w:rsidRDefault="00243D39" w:rsidP="00885A18">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243D39" w:rsidTr="00885A18">
        <w:trPr>
          <w:cantSplit/>
          <w:trHeight w:val="345"/>
        </w:trPr>
        <w:tc>
          <w:tcPr>
            <w:tcW w:w="10350" w:type="dxa"/>
          </w:tcPr>
          <w:p w:rsidR="00243D39" w:rsidRDefault="00243D39" w:rsidP="00885A18">
            <w:pPr>
              <w:spacing w:before="60" w:after="60"/>
              <w:jc w:val="center"/>
              <w:rPr>
                <w:rFonts w:cs="Arial"/>
                <w:b/>
                <w:sz w:val="24"/>
                <w:szCs w:val="20"/>
                <w:lang w:eastAsia="en-GB"/>
              </w:rPr>
            </w:pPr>
            <w:r>
              <w:rPr>
                <w:rFonts w:cs="Arial"/>
                <w:sz w:val="24"/>
                <w:szCs w:val="20"/>
                <w:lang w:eastAsia="en-GB"/>
              </w:rPr>
              <w:t>Certificat de qualification de l’</w:t>
            </w:r>
            <w:r>
              <w:rPr>
                <w:rFonts w:cs="Arial"/>
                <w:b/>
                <w:sz w:val="24"/>
                <w:szCs w:val="20"/>
                <w:lang w:eastAsia="en-GB"/>
              </w:rPr>
              <w:t>Assistant/Assistante logistique milieu hospitalier et collectivités</w:t>
            </w:r>
          </w:p>
        </w:tc>
      </w:tr>
      <w:tr w:rsidR="00243D39" w:rsidTr="00885A18">
        <w:trPr>
          <w:cantSplit/>
          <w:trHeight w:val="220"/>
        </w:trPr>
        <w:tc>
          <w:tcPr>
            <w:tcW w:w="10350" w:type="dxa"/>
          </w:tcPr>
          <w:p w:rsidR="00243D39" w:rsidRDefault="00243D39" w:rsidP="00885A18">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rsidR="00243D39" w:rsidRDefault="00243D39" w:rsidP="00243D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43D39" w:rsidTr="00885A18">
        <w:tc>
          <w:tcPr>
            <w:tcW w:w="10350" w:type="dxa"/>
          </w:tcPr>
          <w:p w:rsidR="00243D39" w:rsidRDefault="00243D39" w:rsidP="00885A18">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243D39" w:rsidTr="00885A18">
        <w:trPr>
          <w:trHeight w:val="341"/>
        </w:trPr>
        <w:tc>
          <w:tcPr>
            <w:tcW w:w="10350" w:type="dxa"/>
          </w:tcPr>
          <w:p w:rsidR="00243D39" w:rsidRDefault="00243D39" w:rsidP="00885A18">
            <w:pPr>
              <w:tabs>
                <w:tab w:val="left" w:pos="3576"/>
                <w:tab w:val="center" w:pos="5067"/>
              </w:tabs>
              <w:spacing w:before="60" w:after="60"/>
              <w:jc w:val="center"/>
              <w:rPr>
                <w:rFonts w:cs="Arial"/>
                <w:sz w:val="20"/>
                <w:szCs w:val="20"/>
                <w:lang w:eastAsia="en-GB"/>
              </w:rPr>
            </w:pPr>
            <w:proofErr w:type="spellStart"/>
            <w:r>
              <w:rPr>
                <w:rFonts w:cs="Arial"/>
                <w:b/>
                <w:sz w:val="20"/>
                <w:szCs w:val="20"/>
                <w:lang w:eastAsia="en-GB"/>
              </w:rPr>
              <w:t>Logistieke</w:t>
            </w:r>
            <w:proofErr w:type="spellEnd"/>
            <w:r>
              <w:rPr>
                <w:rFonts w:cs="Arial"/>
                <w:b/>
                <w:sz w:val="20"/>
                <w:szCs w:val="20"/>
                <w:lang w:eastAsia="en-GB"/>
              </w:rPr>
              <w:t xml:space="preserve"> assistent in het </w:t>
            </w:r>
            <w:proofErr w:type="spellStart"/>
            <w:r>
              <w:rPr>
                <w:rFonts w:cs="Arial"/>
                <w:b/>
                <w:sz w:val="20"/>
                <w:szCs w:val="20"/>
                <w:lang w:eastAsia="en-GB"/>
              </w:rPr>
              <w:t>ziekenhuis</w:t>
            </w:r>
            <w:proofErr w:type="spellEnd"/>
            <w:r>
              <w:rPr>
                <w:rFonts w:cs="Arial"/>
                <w:b/>
                <w:sz w:val="20"/>
                <w:szCs w:val="20"/>
                <w:lang w:eastAsia="en-GB"/>
              </w:rPr>
              <w:t xml:space="preserve"> en de </w:t>
            </w:r>
            <w:proofErr w:type="spellStart"/>
            <w:r>
              <w:rPr>
                <w:rFonts w:cs="Arial"/>
                <w:b/>
                <w:sz w:val="20"/>
                <w:szCs w:val="20"/>
                <w:lang w:eastAsia="en-GB"/>
              </w:rPr>
              <w:t>gemeenschap</w:t>
            </w:r>
            <w:proofErr w:type="spellEnd"/>
            <w:r>
              <w:rPr>
                <w:rFonts w:cs="Arial"/>
                <w:b/>
                <w:sz w:val="20"/>
                <w:szCs w:val="20"/>
                <w:lang w:eastAsia="en-GB"/>
              </w:rPr>
              <w:tab/>
              <w:t xml:space="preserve"> </w:t>
            </w:r>
            <w:r>
              <w:rPr>
                <w:rFonts w:cs="Arial"/>
                <w:sz w:val="20"/>
                <w:szCs w:val="20"/>
                <w:lang w:eastAsia="en-GB"/>
              </w:rPr>
              <w:t>(NL)</w:t>
            </w:r>
          </w:p>
          <w:p w:rsidR="00243D39" w:rsidRDefault="00243D39" w:rsidP="00885A18">
            <w:pPr>
              <w:tabs>
                <w:tab w:val="left" w:pos="3576"/>
                <w:tab w:val="center" w:pos="5067"/>
              </w:tabs>
              <w:spacing w:before="60" w:after="60"/>
              <w:jc w:val="center"/>
              <w:rPr>
                <w:rFonts w:cs="Arial"/>
                <w:sz w:val="20"/>
                <w:szCs w:val="20"/>
                <w:lang w:val="en-US" w:eastAsia="en-GB"/>
              </w:rPr>
            </w:pPr>
            <w:proofErr w:type="spellStart"/>
            <w:r>
              <w:rPr>
                <w:rFonts w:cs="Arial"/>
                <w:b/>
                <w:sz w:val="20"/>
                <w:szCs w:val="20"/>
                <w:lang w:val="en-US" w:eastAsia="en-GB"/>
              </w:rPr>
              <w:t>Logistikassistent</w:t>
            </w:r>
            <w:proofErr w:type="spellEnd"/>
            <w:r>
              <w:rPr>
                <w:rFonts w:cs="Arial"/>
                <w:b/>
                <w:sz w:val="20"/>
                <w:szCs w:val="20"/>
                <w:lang w:val="en-US" w:eastAsia="en-GB"/>
              </w:rPr>
              <w:t xml:space="preserve"> </w:t>
            </w:r>
            <w:proofErr w:type="spellStart"/>
            <w:r>
              <w:rPr>
                <w:rFonts w:cs="Arial"/>
                <w:b/>
                <w:sz w:val="20"/>
                <w:szCs w:val="20"/>
                <w:lang w:val="en-US" w:eastAsia="en-GB"/>
              </w:rPr>
              <w:t>für</w:t>
            </w:r>
            <w:proofErr w:type="spellEnd"/>
            <w:r>
              <w:rPr>
                <w:rFonts w:cs="Arial"/>
                <w:b/>
                <w:sz w:val="20"/>
                <w:szCs w:val="20"/>
                <w:lang w:val="en-US" w:eastAsia="en-GB"/>
              </w:rPr>
              <w:t xml:space="preserve"> </w:t>
            </w:r>
            <w:proofErr w:type="spellStart"/>
            <w:r>
              <w:rPr>
                <w:rFonts w:cs="Arial"/>
                <w:b/>
                <w:sz w:val="20"/>
                <w:szCs w:val="20"/>
                <w:lang w:val="en-US" w:eastAsia="en-GB"/>
              </w:rPr>
              <w:t>Krankenhäuser</w:t>
            </w:r>
            <w:proofErr w:type="spellEnd"/>
            <w:r>
              <w:rPr>
                <w:rFonts w:cs="Arial"/>
                <w:b/>
                <w:sz w:val="20"/>
                <w:szCs w:val="20"/>
                <w:lang w:val="en-US" w:eastAsia="en-GB"/>
              </w:rPr>
              <w:t xml:space="preserve"> und </w:t>
            </w:r>
            <w:proofErr w:type="spellStart"/>
            <w:r>
              <w:rPr>
                <w:rFonts w:cs="Arial"/>
                <w:b/>
                <w:sz w:val="20"/>
                <w:szCs w:val="20"/>
                <w:lang w:val="en-US" w:eastAsia="en-GB"/>
              </w:rPr>
              <w:t>Gemeinden</w:t>
            </w:r>
            <w:proofErr w:type="spellEnd"/>
            <w:r>
              <w:rPr>
                <w:rFonts w:cs="Arial"/>
                <w:b/>
                <w:sz w:val="20"/>
                <w:szCs w:val="20"/>
                <w:lang w:val="en-US" w:eastAsia="en-GB"/>
              </w:rPr>
              <w:t xml:space="preserve"> </w:t>
            </w:r>
            <w:r>
              <w:rPr>
                <w:rFonts w:cs="Arial"/>
                <w:sz w:val="20"/>
                <w:szCs w:val="20"/>
                <w:lang w:val="en-US" w:eastAsia="en-GB"/>
              </w:rPr>
              <w:t xml:space="preserve">(DE) </w:t>
            </w:r>
            <w:r>
              <w:rPr>
                <w:rFonts w:cs="Arial"/>
                <w:sz w:val="20"/>
                <w:szCs w:val="20"/>
                <w:lang w:val="en-US" w:eastAsia="en-GB"/>
              </w:rPr>
              <w:br/>
            </w:r>
            <w:r>
              <w:rPr>
                <w:rFonts w:cs="Arial"/>
                <w:b/>
                <w:sz w:val="20"/>
                <w:szCs w:val="20"/>
                <w:lang w:val="en-US" w:eastAsia="en-GB"/>
              </w:rPr>
              <w:t xml:space="preserve">   Hospital and community logistics assistant</w:t>
            </w:r>
            <w:r>
              <w:rPr>
                <w:rFonts w:cs="Arial"/>
                <w:sz w:val="20"/>
                <w:szCs w:val="20"/>
                <w:lang w:val="en-US" w:eastAsia="en-GB"/>
              </w:rPr>
              <w:t xml:space="preserve"> (EN)</w:t>
            </w:r>
          </w:p>
        </w:tc>
      </w:tr>
      <w:tr w:rsidR="00243D39" w:rsidTr="00885A18">
        <w:trPr>
          <w:trHeight w:val="213"/>
        </w:trPr>
        <w:tc>
          <w:tcPr>
            <w:tcW w:w="10350" w:type="dxa"/>
          </w:tcPr>
          <w:p w:rsidR="00243D39" w:rsidRDefault="00243D39" w:rsidP="00885A18">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rsidR="00243D39" w:rsidRDefault="00243D39" w:rsidP="00243D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43D39" w:rsidTr="00885A18">
        <w:trPr>
          <w:trHeight w:val="267"/>
        </w:trPr>
        <w:tc>
          <w:tcPr>
            <w:tcW w:w="10350" w:type="dxa"/>
          </w:tcPr>
          <w:p w:rsidR="00243D39" w:rsidRDefault="00243D39" w:rsidP="00885A18">
            <w:pPr>
              <w:spacing w:before="20" w:after="20"/>
              <w:jc w:val="center"/>
              <w:rPr>
                <w:rFonts w:cs="Arial"/>
                <w:szCs w:val="20"/>
                <w:lang w:eastAsia="en-GB"/>
              </w:rPr>
            </w:pPr>
            <w:r>
              <w:rPr>
                <w:rFonts w:cs="Arial"/>
                <w:szCs w:val="20"/>
                <w:lang w:eastAsia="en-GB"/>
              </w:rPr>
              <w:t>3. Éléments de compétences acquis</w:t>
            </w:r>
          </w:p>
        </w:tc>
      </w:tr>
      <w:tr w:rsidR="00243D39" w:rsidTr="00885A18">
        <w:trPr>
          <w:trHeight w:val="1980"/>
        </w:trPr>
        <w:tc>
          <w:tcPr>
            <w:tcW w:w="10350" w:type="dxa"/>
          </w:tcPr>
          <w:p w:rsidR="00243D39" w:rsidRDefault="00243D39" w:rsidP="00885A18">
            <w:pPr>
              <w:spacing w:before="40" w:after="20"/>
              <w:rPr>
                <w:rFonts w:cs="Arial"/>
                <w:sz w:val="20"/>
                <w:szCs w:val="20"/>
                <w:lang w:eastAsia="en-GB"/>
              </w:rPr>
            </w:pPr>
            <w:r>
              <w:rPr>
                <w:rFonts w:cs="Arial"/>
                <w:sz w:val="20"/>
                <w:szCs w:val="20"/>
                <w:lang w:eastAsia="en-GB"/>
              </w:rPr>
              <w:t>Le certificat qualification concerne l’ensemble des unités d’acquis d’apprentissage listées ci-dessous.</w:t>
            </w:r>
          </w:p>
          <w:p w:rsidR="00243D39" w:rsidRDefault="00243D39" w:rsidP="00885A18">
            <w:pPr>
              <w:spacing w:before="40" w:after="20"/>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rsidR="00243D39" w:rsidRDefault="00243D39" w:rsidP="00885A18">
            <w:pPr>
              <w:rPr>
                <w:rFonts w:cs="Arial"/>
                <w:sz w:val="20"/>
                <w:szCs w:val="20"/>
                <w:lang w:val="fr-BE" w:eastAsia="fr-BE"/>
              </w:rPr>
            </w:pPr>
            <w:r>
              <w:rPr>
                <w:rFonts w:cs="Arial"/>
                <w:sz w:val="20"/>
                <w:szCs w:val="20"/>
              </w:rPr>
              <w:t>UAA : Soutenir l’équipe pour les repas, collations et activités</w:t>
            </w:r>
            <w:r>
              <w:rPr>
                <w:rFonts w:cs="Arial"/>
                <w:sz w:val="20"/>
                <w:szCs w:val="20"/>
              </w:rPr>
              <w:br/>
              <w:t>UAA : Soutenir l’équipe pour la gestion des stocks, certaines tâches administratives et logistiques</w:t>
            </w:r>
            <w:r>
              <w:rPr>
                <w:rFonts w:cs="Arial"/>
                <w:sz w:val="20"/>
                <w:szCs w:val="20"/>
              </w:rPr>
              <w:br/>
              <w:t>UAA : Effectuer l’entretien du linge des bénéficiaires</w:t>
            </w:r>
            <w:r>
              <w:rPr>
                <w:rFonts w:cs="Arial"/>
                <w:sz w:val="20"/>
                <w:szCs w:val="20"/>
              </w:rPr>
              <w:br/>
              <w:t>UAA : Effectuer l’entretien habituel d’un local</w:t>
            </w:r>
            <w:r>
              <w:rPr>
                <w:rFonts w:cs="Arial"/>
                <w:sz w:val="20"/>
                <w:szCs w:val="20"/>
              </w:rPr>
              <w:br/>
            </w:r>
          </w:p>
          <w:p w:rsidR="00243D39" w:rsidRDefault="00243D39" w:rsidP="00885A18">
            <w:pPr>
              <w:spacing w:before="11"/>
              <w:rPr>
                <w:rFonts w:cs="Arial"/>
                <w:sz w:val="18"/>
                <w:szCs w:val="20"/>
                <w:lang w:eastAsia="en-GB"/>
              </w:rPr>
            </w:pPr>
          </w:p>
        </w:tc>
      </w:tr>
    </w:tbl>
    <w:p w:rsidR="00243D39" w:rsidRDefault="00243D39" w:rsidP="00243D39">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243D39" w:rsidTr="00885A18">
        <w:tc>
          <w:tcPr>
            <w:tcW w:w="10350" w:type="dxa"/>
          </w:tcPr>
          <w:p w:rsidR="00243D39" w:rsidRDefault="00243D39" w:rsidP="00885A18">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243D39" w:rsidTr="00885A18">
        <w:trPr>
          <w:trHeight w:val="939"/>
        </w:trPr>
        <w:tc>
          <w:tcPr>
            <w:tcW w:w="10350" w:type="dxa"/>
          </w:tcPr>
          <w:p w:rsidR="00243D39" w:rsidRDefault="00243D39" w:rsidP="00885A18">
            <w:pPr>
              <w:jc w:val="both"/>
              <w:rPr>
                <w:rFonts w:cs="Arial"/>
                <w:sz w:val="20"/>
                <w:szCs w:val="20"/>
                <w:lang w:eastAsia="en-GB"/>
              </w:rPr>
            </w:pPr>
            <w:r>
              <w:rPr>
                <w:rFonts w:cs="Arial"/>
                <w:sz w:val="20"/>
                <w:szCs w:val="20"/>
                <w:lang w:eastAsia="en-GB"/>
              </w:rPr>
              <w:t>L'</w:t>
            </w:r>
            <w:proofErr w:type="spellStart"/>
            <w:r>
              <w:rPr>
                <w:rFonts w:cs="Arial"/>
                <w:sz w:val="20"/>
                <w:szCs w:val="20"/>
                <w:lang w:eastAsia="en-GB"/>
              </w:rPr>
              <w:t>Assistant.e</w:t>
            </w:r>
            <w:proofErr w:type="spellEnd"/>
            <w:r>
              <w:rPr>
                <w:rFonts w:cs="Arial"/>
                <w:sz w:val="20"/>
                <w:szCs w:val="20"/>
                <w:lang w:eastAsia="en-GB"/>
              </w:rPr>
              <w:t xml:space="preserve"> logistique en milieu hospitalier et collectivités est référencé dans les fiches métiers J1301 - Personnel polyvalent des services hospitaliers  et K1302 - Assistance auprès d'adultes- du Répertoire Opérationnel des Métiers et des Emplois (</w:t>
            </w:r>
            <w:hyperlink r:id="rId9" w:history="1">
              <w:r>
                <w:rPr>
                  <w:rStyle w:val="Lienhypertexte"/>
                  <w:rFonts w:cs="Arial"/>
                  <w:sz w:val="20"/>
                  <w:szCs w:val="20"/>
                  <w:lang w:eastAsia="en-GB"/>
                </w:rPr>
                <w:t>www.pole-emploi.fr</w:t>
              </w:r>
            </w:hyperlink>
            <w:r>
              <w:rPr>
                <w:rFonts w:cs="Arial"/>
                <w:sz w:val="20"/>
                <w:szCs w:val="20"/>
                <w:lang w:eastAsia="en-GB"/>
              </w:rPr>
              <w:t>).</w:t>
            </w:r>
          </w:p>
          <w:p w:rsidR="00243D39" w:rsidRDefault="00243D39" w:rsidP="00885A18">
            <w:pPr>
              <w:jc w:val="both"/>
              <w:rPr>
                <w:rFonts w:cs="Arial"/>
                <w:sz w:val="20"/>
                <w:szCs w:val="20"/>
                <w:lang w:eastAsia="en-GB"/>
              </w:rPr>
            </w:pPr>
          </w:p>
          <w:p w:rsidR="00243D39" w:rsidRDefault="00243D39" w:rsidP="00885A18">
            <w:pPr>
              <w:jc w:val="both"/>
              <w:rPr>
                <w:rFonts w:cs="Arial"/>
                <w:sz w:val="20"/>
                <w:szCs w:val="20"/>
                <w:lang w:eastAsia="en-GB"/>
              </w:rPr>
            </w:pPr>
            <w:r>
              <w:rPr>
                <w:rFonts w:cs="Arial"/>
                <w:sz w:val="20"/>
                <w:szCs w:val="20"/>
                <w:lang w:eastAsia="en-GB"/>
              </w:rPr>
              <w:t>La nomenclature et la codification du ROME sont utilisées par les différents services publics de l’emploi en Belgique.</w:t>
            </w:r>
          </w:p>
          <w:p w:rsidR="00243D39" w:rsidRDefault="00243D39" w:rsidP="00885A18">
            <w:pPr>
              <w:jc w:val="both"/>
              <w:rPr>
                <w:rFonts w:cs="Arial"/>
                <w:sz w:val="20"/>
                <w:szCs w:val="20"/>
                <w:lang w:eastAsia="en-GB"/>
              </w:rPr>
            </w:pPr>
          </w:p>
          <w:p w:rsidR="00243D39" w:rsidRDefault="00243D39" w:rsidP="00885A18">
            <w:pPr>
              <w:jc w:val="both"/>
              <w:rPr>
                <w:rFonts w:cs="Arial"/>
                <w:sz w:val="20"/>
                <w:szCs w:val="20"/>
                <w:lang w:eastAsia="en-GB"/>
              </w:rPr>
            </w:pPr>
            <w:r>
              <w:rPr>
                <w:rFonts w:cs="Arial"/>
                <w:sz w:val="20"/>
                <w:szCs w:val="20"/>
                <w:lang w:eastAsia="en-GB"/>
              </w:rPr>
              <w:t>L'</w:t>
            </w:r>
            <w:proofErr w:type="spellStart"/>
            <w:r>
              <w:rPr>
                <w:rFonts w:cs="Arial"/>
                <w:sz w:val="20"/>
                <w:szCs w:val="20"/>
                <w:lang w:eastAsia="en-GB"/>
              </w:rPr>
              <w:t>Assistant.e</w:t>
            </w:r>
            <w:proofErr w:type="spellEnd"/>
            <w:r>
              <w:rPr>
                <w:rFonts w:cs="Arial"/>
                <w:sz w:val="20"/>
                <w:szCs w:val="20"/>
                <w:lang w:eastAsia="en-GB"/>
              </w:rPr>
              <w:t xml:space="preserve"> logistique apporte un soutien logistique et administratif au personnel infirmier/de collectivité pour améliorer le confort des bénéficiaires et effectue des tâches d’assistance telles que la  distribution des repas, l’entretien ménager, le rangement du matériel, l’accompagnement, le transport et le déplacement des bénéficiaires.</w:t>
            </w:r>
          </w:p>
          <w:p w:rsidR="00243D39" w:rsidRDefault="00243D39" w:rsidP="00885A18">
            <w:pPr>
              <w:rPr>
                <w:rFonts w:cs="Arial"/>
                <w:sz w:val="20"/>
                <w:szCs w:val="20"/>
                <w:lang w:eastAsia="en-GB"/>
              </w:rPr>
            </w:pPr>
          </w:p>
        </w:tc>
      </w:tr>
      <w:tr w:rsidR="00243D39" w:rsidTr="00885A18">
        <w:trPr>
          <w:trHeight w:val="274"/>
        </w:trPr>
        <w:tc>
          <w:tcPr>
            <w:tcW w:w="10350" w:type="dxa"/>
          </w:tcPr>
          <w:p w:rsidR="00243D39" w:rsidRDefault="00243D39" w:rsidP="00885A18">
            <w:pPr>
              <w:spacing w:before="40"/>
              <w:jc w:val="center"/>
              <w:rPr>
                <w:rFonts w:cs="Arial"/>
                <w:b/>
                <w:sz w:val="18"/>
                <w:szCs w:val="20"/>
                <w:lang w:eastAsia="en-GB"/>
              </w:rPr>
            </w:pPr>
          </w:p>
        </w:tc>
      </w:tr>
    </w:tbl>
    <w:p w:rsidR="00243D39" w:rsidRDefault="00243D39" w:rsidP="00243D39">
      <w:pPr>
        <w:jc w:val="center"/>
        <w:rPr>
          <w:rFonts w:cs="Arial"/>
          <w:sz w:val="18"/>
          <w:szCs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243D39" w:rsidTr="00885A18">
        <w:tc>
          <w:tcPr>
            <w:tcW w:w="10350" w:type="dxa"/>
          </w:tcPr>
          <w:p w:rsidR="00243D39" w:rsidRDefault="00243D39" w:rsidP="00885A18">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rsidR="00243D39" w:rsidRDefault="00243D39" w:rsidP="00885A18">
            <w:pPr>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243D39" w:rsidRDefault="00243D39" w:rsidP="00885A18">
            <w:pPr>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rsidR="00243D39" w:rsidRDefault="00243D39" w:rsidP="00885A18">
            <w:pPr>
              <w:spacing w:before="20" w:after="40"/>
              <w:rPr>
                <w:rFonts w:cs="Arial"/>
                <w:sz w:val="16"/>
                <w:szCs w:val="20"/>
                <w:lang w:eastAsia="en-GB"/>
              </w:rPr>
            </w:pPr>
          </w:p>
        </w:tc>
      </w:tr>
    </w:tbl>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p w:rsidR="00243D39" w:rsidRDefault="00243D39" w:rsidP="00243D39">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243D39" w:rsidTr="00885A18">
        <w:trPr>
          <w:cantSplit/>
          <w:trHeight w:val="194"/>
        </w:trPr>
        <w:tc>
          <w:tcPr>
            <w:tcW w:w="10350" w:type="dxa"/>
            <w:gridSpan w:val="2"/>
            <w:tcBorders>
              <w:top w:val="double" w:sz="4" w:space="0" w:color="auto"/>
              <w:bottom w:val="single" w:sz="4" w:space="0" w:color="auto"/>
            </w:tcBorders>
          </w:tcPr>
          <w:p w:rsidR="00243D39" w:rsidRDefault="00243D39" w:rsidP="00885A18">
            <w:pPr>
              <w:spacing w:before="20" w:after="20"/>
              <w:jc w:val="center"/>
              <w:rPr>
                <w:rFonts w:cs="Arial"/>
                <w:sz w:val="18"/>
                <w:szCs w:val="20"/>
                <w:lang w:eastAsia="en-GB"/>
              </w:rPr>
            </w:pPr>
            <w:r>
              <w:rPr>
                <w:rFonts w:cs="Arial"/>
                <w:szCs w:val="20"/>
                <w:lang w:eastAsia="en-GB"/>
              </w:rPr>
              <w:lastRenderedPageBreak/>
              <w:t>5. Base officielle du certificat</w:t>
            </w:r>
          </w:p>
        </w:tc>
      </w:tr>
      <w:tr w:rsidR="00243D39" w:rsidTr="00885A18">
        <w:trPr>
          <w:trHeight w:val="1563"/>
        </w:trPr>
        <w:tc>
          <w:tcPr>
            <w:tcW w:w="5472" w:type="dxa"/>
            <w:tcBorders>
              <w:top w:val="single" w:sz="4" w:space="0" w:color="auto"/>
              <w:bottom w:val="single" w:sz="4" w:space="0" w:color="auto"/>
            </w:tcBorders>
          </w:tcPr>
          <w:p w:rsidR="00243D39" w:rsidRDefault="00243D39" w:rsidP="00885A18">
            <w:pPr>
              <w:spacing w:before="40" w:after="40"/>
              <w:rPr>
                <w:rFonts w:cs="Arial"/>
                <w:b/>
                <w:sz w:val="20"/>
                <w:szCs w:val="20"/>
                <w:lang w:eastAsia="en-GB"/>
              </w:rPr>
            </w:pPr>
            <w:r>
              <w:rPr>
                <w:rFonts w:cs="Arial"/>
                <w:b/>
                <w:sz w:val="20"/>
                <w:szCs w:val="20"/>
                <w:lang w:eastAsia="en-GB"/>
              </w:rPr>
              <w:t>Nom et statut de l’organisme certificateur</w:t>
            </w:r>
          </w:p>
          <w:p w:rsidR="00243D39" w:rsidRDefault="00243D39" w:rsidP="00885A18">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243D39" w:rsidTr="00885A18">
              <w:tc>
                <w:tcPr>
                  <w:tcW w:w="5246" w:type="dxa"/>
                </w:tcPr>
                <w:p w:rsidR="00243D39" w:rsidRDefault="00243D39" w:rsidP="00885A18">
                  <w:pPr>
                    <w:autoSpaceDE w:val="0"/>
                    <w:autoSpaceDN w:val="0"/>
                    <w:adjustRightInd w:val="0"/>
                    <w:rPr>
                      <w:rFonts w:cs="Arial"/>
                      <w:iCs/>
                      <w:color w:val="000000"/>
                      <w:sz w:val="24"/>
                    </w:rPr>
                  </w:pPr>
                </w:p>
                <w:p w:rsidR="00243D39" w:rsidRDefault="00243D39" w:rsidP="00885A18">
                  <w:pPr>
                    <w:autoSpaceDE w:val="0"/>
                    <w:autoSpaceDN w:val="0"/>
                    <w:adjustRightInd w:val="0"/>
                    <w:rPr>
                      <w:rFonts w:cs="Arial"/>
                      <w:iCs/>
                      <w:color w:val="000000"/>
                      <w:sz w:val="24"/>
                    </w:rPr>
                  </w:pPr>
                </w:p>
                <w:p w:rsidR="00243D39" w:rsidRDefault="00243D39" w:rsidP="00885A18">
                  <w:pPr>
                    <w:autoSpaceDE w:val="0"/>
                    <w:autoSpaceDN w:val="0"/>
                    <w:adjustRightInd w:val="0"/>
                    <w:rPr>
                      <w:rFonts w:cs="Arial"/>
                      <w:iCs/>
                      <w:color w:val="000000"/>
                      <w:sz w:val="24"/>
                    </w:rPr>
                  </w:pPr>
                </w:p>
                <w:p w:rsidR="00243D39" w:rsidRDefault="00243D39" w:rsidP="00885A18">
                  <w:pPr>
                    <w:autoSpaceDE w:val="0"/>
                    <w:autoSpaceDN w:val="0"/>
                    <w:adjustRightInd w:val="0"/>
                    <w:rPr>
                      <w:rFonts w:cs="Arial"/>
                      <w:iCs/>
                      <w:color w:val="000000"/>
                      <w:sz w:val="24"/>
                    </w:rPr>
                  </w:pPr>
                </w:p>
              </w:tc>
            </w:tr>
          </w:tbl>
          <w:p w:rsidR="00243D39" w:rsidRDefault="00243D39" w:rsidP="00885A18">
            <w:pPr>
              <w:spacing w:before="40" w:after="40"/>
              <w:rPr>
                <w:rFonts w:cs="Arial"/>
                <w:i/>
                <w:sz w:val="20"/>
                <w:szCs w:val="20"/>
                <w:lang w:eastAsia="en-GB"/>
              </w:rPr>
            </w:pPr>
          </w:p>
        </w:tc>
        <w:tc>
          <w:tcPr>
            <w:tcW w:w="4878" w:type="dxa"/>
            <w:tcBorders>
              <w:top w:val="single" w:sz="4" w:space="0" w:color="auto"/>
              <w:bottom w:val="single" w:sz="4" w:space="0" w:color="auto"/>
            </w:tcBorders>
          </w:tcPr>
          <w:p w:rsidR="00243D39" w:rsidRDefault="00243D39" w:rsidP="00885A18">
            <w:pPr>
              <w:rPr>
                <w:rFonts w:cs="Arial"/>
                <w:b/>
                <w:sz w:val="20"/>
                <w:szCs w:val="20"/>
                <w:lang w:eastAsia="en-GB"/>
              </w:rPr>
            </w:pPr>
            <w:r>
              <w:rPr>
                <w:rFonts w:cs="Arial"/>
                <w:b/>
                <w:sz w:val="20"/>
                <w:szCs w:val="20"/>
                <w:lang w:eastAsia="en-GB"/>
              </w:rPr>
              <w:t>Nom et statut de l’autorité de tutelle responsable de l’organisme certificateur</w:t>
            </w:r>
          </w:p>
          <w:p w:rsidR="00243D39" w:rsidRDefault="00243D39" w:rsidP="00885A18">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rsidR="00243D39" w:rsidRDefault="00243D39" w:rsidP="00885A18">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rsidR="00243D39" w:rsidRDefault="00243D39" w:rsidP="00885A18">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rsidR="00243D39" w:rsidRDefault="00243D39" w:rsidP="00885A18">
            <w:pPr>
              <w:rPr>
                <w:rFonts w:cs="Arial"/>
                <w:sz w:val="18"/>
                <w:szCs w:val="20"/>
                <w:lang w:eastAsia="en-GB"/>
              </w:rPr>
            </w:pPr>
            <w:hyperlink r:id="rId10" w:history="1">
              <w:r>
                <w:rPr>
                  <w:rFonts w:cs="Arial"/>
                  <w:color w:val="0000FF"/>
                  <w:sz w:val="20"/>
                  <w:szCs w:val="20"/>
                  <w:u w:val="single"/>
                  <w:lang w:eastAsia="en-GB"/>
                </w:rPr>
                <w:t>http://www.federation-wallonie-bruxelles.be/</w:t>
              </w:r>
            </w:hyperlink>
          </w:p>
        </w:tc>
      </w:tr>
      <w:tr w:rsidR="00243D39" w:rsidTr="00885A18">
        <w:trPr>
          <w:trHeight w:val="1234"/>
        </w:trPr>
        <w:tc>
          <w:tcPr>
            <w:tcW w:w="5472" w:type="dxa"/>
            <w:tcBorders>
              <w:top w:val="nil"/>
            </w:tcBorders>
          </w:tcPr>
          <w:p w:rsidR="00243D39" w:rsidRDefault="00243D39" w:rsidP="00885A18">
            <w:pPr>
              <w:spacing w:before="40" w:after="40"/>
              <w:rPr>
                <w:rFonts w:cs="Arial"/>
                <w:b/>
                <w:sz w:val="20"/>
                <w:szCs w:val="20"/>
                <w:lang w:eastAsia="en-GB"/>
              </w:rPr>
            </w:pPr>
            <w:r>
              <w:rPr>
                <w:rFonts w:cs="Arial"/>
                <w:b/>
                <w:sz w:val="20"/>
                <w:szCs w:val="20"/>
                <w:lang w:eastAsia="en-GB"/>
              </w:rPr>
              <w:t>Niveau du certificat</w:t>
            </w:r>
          </w:p>
          <w:p w:rsidR="00243D39" w:rsidRDefault="00243D39" w:rsidP="00885A18">
            <w:pPr>
              <w:spacing w:before="40" w:after="40"/>
              <w:rPr>
                <w:rFonts w:cs="Arial"/>
                <w:sz w:val="20"/>
                <w:szCs w:val="20"/>
                <w:lang w:eastAsia="en-GB"/>
              </w:rPr>
            </w:pPr>
            <w:r>
              <w:rPr>
                <w:rFonts w:cs="Arial"/>
                <w:sz w:val="20"/>
                <w:szCs w:val="20"/>
                <w:lang w:eastAsia="en-GB"/>
              </w:rPr>
              <w:t>Niveau 3 du CFC et du CEC (EQF)</w:t>
            </w:r>
          </w:p>
          <w:p w:rsidR="00243D39" w:rsidRDefault="00243D39" w:rsidP="00885A18">
            <w:pPr>
              <w:spacing w:before="40" w:after="40"/>
              <w:rPr>
                <w:rFonts w:cs="Arial"/>
                <w:sz w:val="20"/>
                <w:szCs w:val="20"/>
                <w:lang w:eastAsia="en-GB"/>
              </w:rPr>
            </w:pPr>
          </w:p>
          <w:p w:rsidR="00243D39" w:rsidRDefault="00243D39" w:rsidP="00885A18">
            <w:pPr>
              <w:rPr>
                <w:rFonts w:cs="Arial"/>
                <w:i/>
                <w:sz w:val="20"/>
                <w:szCs w:val="20"/>
                <w:lang w:eastAsia="en-GB"/>
              </w:rPr>
            </w:pPr>
          </w:p>
        </w:tc>
        <w:tc>
          <w:tcPr>
            <w:tcW w:w="4878" w:type="dxa"/>
            <w:tcBorders>
              <w:top w:val="nil"/>
            </w:tcBorders>
          </w:tcPr>
          <w:p w:rsidR="00243D39" w:rsidRDefault="00243D39" w:rsidP="00885A18">
            <w:pPr>
              <w:spacing w:before="40" w:after="40"/>
              <w:rPr>
                <w:rFonts w:cs="Arial"/>
                <w:b/>
                <w:sz w:val="20"/>
                <w:szCs w:val="20"/>
                <w:lang w:eastAsia="en-GB"/>
              </w:rPr>
            </w:pPr>
            <w:r>
              <w:rPr>
                <w:rFonts w:cs="Arial"/>
                <w:b/>
                <w:sz w:val="20"/>
                <w:szCs w:val="20"/>
                <w:lang w:eastAsia="en-GB"/>
              </w:rPr>
              <w:t>Système de notation / conditions d’octroi</w:t>
            </w:r>
          </w:p>
          <w:p w:rsidR="00243D39" w:rsidRDefault="00243D39" w:rsidP="00885A18">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rsidR="00243D39" w:rsidRDefault="00243D39" w:rsidP="00885A18">
            <w:pPr>
              <w:autoSpaceDE w:val="0"/>
              <w:autoSpaceDN w:val="0"/>
              <w:adjustRightInd w:val="0"/>
              <w:jc w:val="both"/>
              <w:rPr>
                <w:rFonts w:cs="Arial"/>
                <w:color w:val="000000"/>
                <w:sz w:val="24"/>
                <w:lang w:eastAsia="fr-BE"/>
              </w:rPr>
            </w:pPr>
            <w:r>
              <w:rPr>
                <w:rFonts w:cs="Arial"/>
                <w:color w:val="000000"/>
                <w:sz w:val="20"/>
                <w:szCs w:val="20"/>
                <w:lang w:eastAsia="fr-BE"/>
              </w:rPr>
              <w:t>Le certificat de qualification est délivré aux élèves qui maîtrisent les acquis d'apprentissage fixés par le profil de certification de l’« </w:t>
            </w:r>
            <w:r>
              <w:rPr>
                <w:rFonts w:cs="Arial"/>
                <w:sz w:val="20"/>
                <w:szCs w:val="20"/>
              </w:rPr>
              <w:t xml:space="preserve">Assistant/Assistante logistique milieu hospitalier et collectivités </w:t>
            </w:r>
            <w:r>
              <w:rPr>
                <w:rFonts w:cs="Arial"/>
                <w:color w:val="000000"/>
                <w:sz w:val="20"/>
                <w:szCs w:val="20"/>
                <w:lang w:eastAsia="fr-BE"/>
              </w:rPr>
              <w:t xml:space="preserve">». </w:t>
            </w:r>
            <w:r>
              <w:rPr>
                <w:rFonts w:cs="Arial"/>
                <w:sz w:val="20"/>
                <w:szCs w:val="20"/>
                <w:lang w:eastAsia="en-GB"/>
              </w:rPr>
              <w:t>Les critères et indicateurs d’évaluation sont définis par le profil d’évaluation.</w:t>
            </w:r>
          </w:p>
        </w:tc>
      </w:tr>
      <w:tr w:rsidR="00243D39" w:rsidTr="00885A18">
        <w:trPr>
          <w:trHeight w:val="612"/>
        </w:trPr>
        <w:tc>
          <w:tcPr>
            <w:tcW w:w="5472" w:type="dxa"/>
          </w:tcPr>
          <w:p w:rsidR="00243D39" w:rsidRDefault="00243D39" w:rsidP="00885A18">
            <w:pPr>
              <w:spacing w:before="40" w:after="40"/>
              <w:rPr>
                <w:rFonts w:cs="Arial"/>
                <w:b/>
                <w:sz w:val="20"/>
                <w:szCs w:val="20"/>
                <w:lang w:eastAsia="en-GB"/>
              </w:rPr>
            </w:pPr>
            <w:r>
              <w:rPr>
                <w:rFonts w:cs="Arial"/>
                <w:b/>
                <w:sz w:val="20"/>
                <w:szCs w:val="20"/>
                <w:lang w:eastAsia="en-GB"/>
              </w:rPr>
              <w:t>Accès au niveau suivant d’éducation/de formation</w:t>
            </w:r>
          </w:p>
          <w:p w:rsidR="00243D39" w:rsidRDefault="00243D39" w:rsidP="00885A18">
            <w:pPr>
              <w:rPr>
                <w:rFonts w:cs="Arial"/>
                <w:sz w:val="20"/>
                <w:szCs w:val="20"/>
                <w:lang w:eastAsia="en-GB"/>
              </w:rPr>
            </w:pPr>
            <w:r>
              <w:rPr>
                <w:rFonts w:cs="Arial"/>
                <w:sz w:val="20"/>
                <w:szCs w:val="20"/>
                <w:lang w:eastAsia="en-GB"/>
              </w:rPr>
              <w:t>Néant</w:t>
            </w:r>
          </w:p>
        </w:tc>
        <w:tc>
          <w:tcPr>
            <w:tcW w:w="4878" w:type="dxa"/>
          </w:tcPr>
          <w:p w:rsidR="00243D39" w:rsidRDefault="00243D39" w:rsidP="00885A18">
            <w:pPr>
              <w:spacing w:before="40" w:after="40"/>
              <w:rPr>
                <w:rFonts w:cs="Arial"/>
                <w:sz w:val="20"/>
                <w:szCs w:val="20"/>
                <w:lang w:eastAsia="en-GB"/>
              </w:rPr>
            </w:pPr>
            <w:r>
              <w:rPr>
                <w:rFonts w:cs="Arial"/>
                <w:b/>
                <w:sz w:val="20"/>
                <w:szCs w:val="20"/>
                <w:lang w:eastAsia="en-GB"/>
              </w:rPr>
              <w:t>Accords internationaux</w:t>
            </w:r>
          </w:p>
          <w:p w:rsidR="00243D39" w:rsidRDefault="00243D39" w:rsidP="00885A18">
            <w:pPr>
              <w:rPr>
                <w:rFonts w:cs="Arial"/>
                <w:sz w:val="20"/>
                <w:szCs w:val="20"/>
                <w:lang w:eastAsia="en-GB"/>
              </w:rPr>
            </w:pPr>
            <w:r>
              <w:rPr>
                <w:rFonts w:cs="Arial"/>
                <w:sz w:val="20"/>
                <w:szCs w:val="20"/>
                <w:lang w:eastAsia="en-GB"/>
              </w:rPr>
              <w:t>Néant</w:t>
            </w:r>
          </w:p>
        </w:tc>
      </w:tr>
      <w:tr w:rsidR="00243D39" w:rsidTr="00885A18">
        <w:trPr>
          <w:cantSplit/>
          <w:trHeight w:val="620"/>
        </w:trPr>
        <w:tc>
          <w:tcPr>
            <w:tcW w:w="10350" w:type="dxa"/>
            <w:gridSpan w:val="2"/>
          </w:tcPr>
          <w:p w:rsidR="00243D39" w:rsidRDefault="00243D39" w:rsidP="00885A18">
            <w:pPr>
              <w:spacing w:before="40" w:after="40"/>
              <w:rPr>
                <w:rFonts w:cs="Arial"/>
                <w:b/>
                <w:sz w:val="20"/>
                <w:szCs w:val="20"/>
                <w:lang w:eastAsia="en-GB"/>
              </w:rPr>
            </w:pPr>
            <w:r>
              <w:rPr>
                <w:rFonts w:cs="Arial"/>
                <w:b/>
                <w:sz w:val="20"/>
                <w:szCs w:val="20"/>
                <w:lang w:eastAsia="en-GB"/>
              </w:rPr>
              <w:t>Base légale</w:t>
            </w:r>
          </w:p>
          <w:p w:rsidR="00243D39" w:rsidRDefault="00243D39" w:rsidP="00243D39">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rsidR="00243D39" w:rsidRDefault="00243D39" w:rsidP="00243D39">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(article 2bis) </w:t>
            </w:r>
          </w:p>
          <w:p w:rsidR="00243D39" w:rsidRDefault="00243D39" w:rsidP="00243D39">
            <w:pPr>
              <w:numPr>
                <w:ilvl w:val="0"/>
                <w:numId w:val="1"/>
              </w:numPr>
              <w:autoSpaceDE w:val="0"/>
              <w:autoSpaceDN w:val="0"/>
              <w:adjustRightInd w:val="0"/>
              <w:jc w:val="both"/>
              <w:rPr>
                <w:rFonts w:cs="Arial"/>
                <w:sz w:val="20"/>
                <w:szCs w:val="20"/>
                <w:lang w:eastAsia="fr-BE"/>
              </w:rPr>
            </w:pPr>
            <w:r>
              <w:rPr>
                <w:rFonts w:cs="Arial"/>
                <w:sz w:val="20"/>
                <w:szCs w:val="20"/>
                <w:lang w:eastAsia="fr-BE"/>
              </w:rPr>
              <w:t>Arrêté du Gouvernement de la Communauté française du 24 août 2023 définissant le profil de formation du/de l’</w:t>
            </w:r>
            <w:proofErr w:type="spellStart"/>
            <w:r>
              <w:rPr>
                <w:rFonts w:cs="Arial"/>
                <w:sz w:val="20"/>
                <w:szCs w:val="20"/>
              </w:rPr>
              <w:t>Assistant.e</w:t>
            </w:r>
            <w:proofErr w:type="spellEnd"/>
            <w:r>
              <w:rPr>
                <w:rFonts w:cs="Arial"/>
                <w:sz w:val="20"/>
                <w:szCs w:val="20"/>
              </w:rPr>
              <w:t xml:space="preserve"> logistique milieu hospitalier et collectivités</w:t>
            </w:r>
          </w:p>
          <w:p w:rsidR="00243D39" w:rsidRDefault="00243D39" w:rsidP="00243D39">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rsidR="00243D39" w:rsidRDefault="00243D39" w:rsidP="00243D39">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243D39" w:rsidTr="00885A18">
        <w:trPr>
          <w:trHeight w:val="161"/>
        </w:trPr>
        <w:tc>
          <w:tcPr>
            <w:tcW w:w="10350" w:type="dxa"/>
            <w:gridSpan w:val="3"/>
            <w:tcBorders>
              <w:top w:val="double" w:sz="4" w:space="0" w:color="auto"/>
              <w:bottom w:val="single" w:sz="4" w:space="0" w:color="808080"/>
            </w:tcBorders>
          </w:tcPr>
          <w:p w:rsidR="00243D39" w:rsidRDefault="00243D39" w:rsidP="00885A18">
            <w:pPr>
              <w:spacing w:before="20" w:after="20"/>
              <w:jc w:val="center"/>
              <w:rPr>
                <w:b/>
              </w:rPr>
            </w:pPr>
            <w:r>
              <w:t>6. Modes d’accès à la certification officiellement reconnus</w:t>
            </w:r>
          </w:p>
        </w:tc>
      </w:tr>
      <w:tr w:rsidR="00243D39" w:rsidTr="00885A18">
        <w:trPr>
          <w:trHeight w:val="45"/>
        </w:trPr>
        <w:tc>
          <w:tcPr>
            <w:tcW w:w="10350" w:type="dxa"/>
            <w:gridSpan w:val="3"/>
            <w:tcBorders>
              <w:top w:val="single" w:sz="4" w:space="0" w:color="808080"/>
              <w:bottom w:val="nil"/>
            </w:tcBorders>
          </w:tcPr>
          <w:p w:rsidR="00243D39" w:rsidRDefault="00243D39" w:rsidP="00885A18">
            <w:pPr>
              <w:jc w:val="center"/>
              <w:rPr>
                <w:sz w:val="4"/>
                <w:szCs w:val="4"/>
              </w:rPr>
            </w:pPr>
          </w:p>
        </w:tc>
      </w:tr>
      <w:tr w:rsidR="00243D39" w:rsidTr="00885A18">
        <w:trPr>
          <w:cantSplit/>
          <w:trHeight w:val="20"/>
        </w:trPr>
        <w:tc>
          <w:tcPr>
            <w:tcW w:w="3552" w:type="dxa"/>
            <w:tcBorders>
              <w:top w:val="double" w:sz="4" w:space="0" w:color="auto"/>
              <w:bottom w:val="double" w:sz="4" w:space="0" w:color="auto"/>
              <w:right w:val="double" w:sz="4" w:space="0" w:color="auto"/>
            </w:tcBorders>
          </w:tcPr>
          <w:p w:rsidR="00243D39" w:rsidRDefault="00243D39" w:rsidP="00885A18">
            <w:pPr>
              <w:spacing w:before="20" w:after="20"/>
              <w:jc w:val="center"/>
              <w:rPr>
                <w:b/>
              </w:rPr>
            </w:pPr>
            <w:r>
              <w:rPr>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243D39" w:rsidRDefault="00243D39" w:rsidP="00885A18">
            <w:pPr>
              <w:spacing w:before="20" w:after="20"/>
              <w:jc w:val="center"/>
              <w:rPr>
                <w:b/>
              </w:rPr>
            </w:pPr>
            <w:r>
              <w:rPr>
                <w:b/>
              </w:rPr>
              <w:t>Part du volume total de l’enseignement / formation (%)</w:t>
            </w:r>
          </w:p>
        </w:tc>
        <w:tc>
          <w:tcPr>
            <w:tcW w:w="3318" w:type="dxa"/>
            <w:tcBorders>
              <w:top w:val="double" w:sz="4" w:space="0" w:color="auto"/>
              <w:left w:val="double" w:sz="4" w:space="0" w:color="auto"/>
              <w:bottom w:val="double" w:sz="4" w:space="0" w:color="auto"/>
            </w:tcBorders>
          </w:tcPr>
          <w:p w:rsidR="00243D39" w:rsidRDefault="00243D39" w:rsidP="00885A18">
            <w:pPr>
              <w:spacing w:before="20" w:after="20"/>
              <w:jc w:val="center"/>
              <w:rPr>
                <w:b/>
              </w:rPr>
            </w:pPr>
            <w:r>
              <w:rPr>
                <w:b/>
              </w:rPr>
              <w:t>Durée (heures/semaines/mois/années)</w:t>
            </w:r>
          </w:p>
        </w:tc>
      </w:tr>
      <w:tr w:rsidR="00243D39" w:rsidTr="00885A18">
        <w:trPr>
          <w:cantSplit/>
          <w:trHeight w:val="350"/>
        </w:trPr>
        <w:tc>
          <w:tcPr>
            <w:tcW w:w="3552" w:type="dxa"/>
            <w:tcBorders>
              <w:top w:val="double" w:sz="4" w:space="0" w:color="auto"/>
              <w:bottom w:val="double" w:sz="4" w:space="0" w:color="auto"/>
              <w:right w:val="double" w:sz="4" w:space="0" w:color="auto"/>
            </w:tcBorders>
          </w:tcPr>
          <w:p w:rsidR="00243D39" w:rsidRDefault="00243D39" w:rsidP="00885A18">
            <w:pPr>
              <w:spacing w:before="20" w:after="20"/>
              <w:jc w:val="center"/>
              <w:rPr>
                <w:rFonts w:cs="Arial"/>
                <w:szCs w:val="22"/>
                <w:lang w:val="fr-BE"/>
              </w:rPr>
            </w:pPr>
            <w:r>
              <w:rPr>
                <w:rFonts w:cs="Arial"/>
                <w:szCs w:val="22"/>
                <w:lang w:val="fr-BE"/>
              </w:rPr>
              <w:t>Enseignement secondaire en alternance (« </w:t>
            </w:r>
            <w:r>
              <w:rPr>
                <w:rFonts w:cs="Arial"/>
                <w:lang w:val="fr-BE"/>
              </w:rPr>
              <w:t>art.45 »)</w:t>
            </w:r>
          </w:p>
        </w:tc>
        <w:tc>
          <w:tcPr>
            <w:tcW w:w="3480" w:type="dxa"/>
            <w:tcBorders>
              <w:top w:val="double" w:sz="4" w:space="0" w:color="auto"/>
              <w:left w:val="double" w:sz="4" w:space="0" w:color="auto"/>
              <w:bottom w:val="double" w:sz="4" w:space="0" w:color="auto"/>
              <w:right w:val="double" w:sz="4" w:space="0" w:color="auto"/>
            </w:tcBorders>
          </w:tcPr>
          <w:p w:rsidR="00243D39" w:rsidRDefault="00243D39" w:rsidP="00885A18">
            <w:pPr>
              <w:spacing w:before="20" w:after="20"/>
              <w:jc w:val="center"/>
              <w:rPr>
                <w:szCs w:val="22"/>
              </w:rPr>
            </w:pPr>
            <w:r>
              <w:rPr>
                <w:szCs w:val="22"/>
              </w:rPr>
              <w:t>40 % en école</w:t>
            </w:r>
          </w:p>
          <w:p w:rsidR="00243D39" w:rsidRDefault="00243D39" w:rsidP="00885A18">
            <w:pPr>
              <w:spacing w:before="20" w:after="20"/>
              <w:jc w:val="center"/>
              <w:rPr>
                <w:szCs w:val="22"/>
              </w:rPr>
            </w:pPr>
            <w:r>
              <w:rPr>
                <w:szCs w:val="22"/>
              </w:rPr>
              <w:t>60 % en entreprise</w:t>
            </w:r>
          </w:p>
        </w:tc>
        <w:tc>
          <w:tcPr>
            <w:tcW w:w="3318" w:type="dxa"/>
            <w:tcBorders>
              <w:top w:val="double" w:sz="4" w:space="0" w:color="auto"/>
              <w:left w:val="double" w:sz="4" w:space="0" w:color="auto"/>
              <w:bottom w:val="double" w:sz="4" w:space="0" w:color="auto"/>
            </w:tcBorders>
          </w:tcPr>
          <w:p w:rsidR="00243D39" w:rsidRDefault="00243D39" w:rsidP="00885A18">
            <w:pPr>
              <w:spacing w:before="20" w:after="20"/>
              <w:jc w:val="center"/>
              <w:rPr>
                <w:szCs w:val="22"/>
              </w:rPr>
            </w:pPr>
            <w:r>
              <w:rPr>
                <w:szCs w:val="22"/>
              </w:rPr>
              <w:t>2 ans</w:t>
            </w:r>
          </w:p>
          <w:p w:rsidR="00243D39" w:rsidRDefault="00243D39" w:rsidP="00885A18">
            <w:pPr>
              <w:spacing w:before="20" w:after="20"/>
              <w:jc w:val="center"/>
              <w:rPr>
                <w:szCs w:val="22"/>
              </w:rPr>
            </w:pPr>
          </w:p>
        </w:tc>
      </w:tr>
      <w:tr w:rsidR="00243D39" w:rsidTr="00885A18">
        <w:trPr>
          <w:cantSplit/>
          <w:trHeight w:val="350"/>
        </w:trPr>
        <w:tc>
          <w:tcPr>
            <w:tcW w:w="7032" w:type="dxa"/>
            <w:gridSpan w:val="2"/>
            <w:tcBorders>
              <w:top w:val="double" w:sz="4" w:space="0" w:color="auto"/>
              <w:bottom w:val="double" w:sz="4" w:space="0" w:color="auto"/>
            </w:tcBorders>
          </w:tcPr>
          <w:p w:rsidR="00243D39" w:rsidRDefault="00243D39" w:rsidP="00885A18">
            <w:pPr>
              <w:spacing w:before="20" w:after="20"/>
              <w:jc w:val="center"/>
            </w:pPr>
            <w:r>
              <w:rPr>
                <w:b/>
              </w:rPr>
              <w:t>Durée totale de l’enseignement / de la formation conduisant au certificat/titre/diplôme</w:t>
            </w:r>
          </w:p>
        </w:tc>
        <w:tc>
          <w:tcPr>
            <w:tcW w:w="3318" w:type="dxa"/>
          </w:tcPr>
          <w:p w:rsidR="00243D39" w:rsidRDefault="00243D39" w:rsidP="00885A18">
            <w:pPr>
              <w:spacing w:before="20" w:after="20"/>
              <w:jc w:val="center"/>
              <w:rPr>
                <w:szCs w:val="22"/>
              </w:rPr>
            </w:pPr>
            <w:r>
              <w:rPr>
                <w:szCs w:val="22"/>
              </w:rPr>
              <w:t>2 ans</w:t>
            </w:r>
          </w:p>
        </w:tc>
      </w:tr>
      <w:tr w:rsidR="00243D39" w:rsidTr="00885A18">
        <w:trPr>
          <w:cantSplit/>
          <w:trHeight w:val="320"/>
        </w:trPr>
        <w:tc>
          <w:tcPr>
            <w:tcW w:w="7032" w:type="dxa"/>
            <w:gridSpan w:val="2"/>
            <w:tcBorders>
              <w:top w:val="double" w:sz="4" w:space="0" w:color="auto"/>
              <w:bottom w:val="double" w:sz="4" w:space="0" w:color="auto"/>
              <w:right w:val="double" w:sz="4" w:space="0" w:color="auto"/>
            </w:tcBorders>
          </w:tcPr>
          <w:p w:rsidR="00243D39" w:rsidRDefault="00243D39" w:rsidP="00885A18">
            <w:pPr>
              <w:spacing w:before="20" w:after="20"/>
              <w:jc w:val="both"/>
              <w:rPr>
                <w:b/>
              </w:rPr>
            </w:pPr>
            <w:r>
              <w:rPr>
                <w:b/>
              </w:rPr>
              <w:t>Description de l’enseignement / formation professionnel(le) suivi(e)</w:t>
            </w:r>
          </w:p>
        </w:tc>
        <w:tc>
          <w:tcPr>
            <w:tcW w:w="3318" w:type="dxa"/>
            <w:tcBorders>
              <w:top w:val="double" w:sz="4" w:space="0" w:color="auto"/>
              <w:left w:val="double" w:sz="4" w:space="0" w:color="auto"/>
              <w:bottom w:val="double" w:sz="4" w:space="0" w:color="auto"/>
              <w:right w:val="double" w:sz="4" w:space="0" w:color="auto"/>
            </w:tcBorders>
          </w:tcPr>
          <w:p w:rsidR="00243D39" w:rsidRDefault="00243D39" w:rsidP="00885A18">
            <w:pPr>
              <w:spacing w:before="20" w:after="20"/>
              <w:jc w:val="center"/>
            </w:pPr>
            <w:r>
              <w:rPr>
                <w:b/>
              </w:rPr>
              <w:t>Part du volume total de l’enseignement / formation 100 (%)</w:t>
            </w:r>
          </w:p>
        </w:tc>
      </w:tr>
      <w:tr w:rsidR="00243D39" w:rsidTr="00885A18">
        <w:trPr>
          <w:trHeight w:val="3515"/>
        </w:trPr>
        <w:tc>
          <w:tcPr>
            <w:tcW w:w="10350" w:type="dxa"/>
            <w:gridSpan w:val="3"/>
            <w:tcBorders>
              <w:top w:val="single" w:sz="4" w:space="0" w:color="auto"/>
            </w:tcBorders>
          </w:tcPr>
          <w:p w:rsidR="00243D39" w:rsidRDefault="00243D39" w:rsidP="00885A18"/>
          <w:p w:rsidR="00243D39" w:rsidRDefault="00243D39" w:rsidP="00885A18">
            <w:pPr>
              <w:rPr>
                <w:rFonts w:eastAsia="Calibri" w:cstheme="minorHAnsi"/>
                <w:b/>
                <w:bCs/>
                <w:color w:val="FF0000"/>
                <w:u w:val="single"/>
              </w:rPr>
            </w:pPr>
            <w:r>
              <w:rPr>
                <w:rFonts w:cstheme="minorHAnsi"/>
                <w:b/>
                <w:sz w:val="20"/>
                <w:szCs w:val="20"/>
                <w:lang w:eastAsia="en-GB"/>
              </w:rPr>
              <w:t>Niveau d’entrée requis</w:t>
            </w:r>
          </w:p>
          <w:p w:rsidR="00243D39" w:rsidRDefault="00243D39" w:rsidP="00885A18">
            <w:pPr>
              <w:widowControl w:val="0"/>
              <w:autoSpaceDE w:val="0"/>
              <w:autoSpaceDN w:val="0"/>
              <w:spacing w:before="40" w:after="40"/>
              <w:ind w:left="833"/>
              <w:contextualSpacing/>
              <w:rPr>
                <w:rFonts w:eastAsia="Calibri" w:cstheme="minorHAnsi"/>
                <w:b/>
                <w:bCs/>
                <w:u w:val="single"/>
              </w:rPr>
            </w:pPr>
            <w:r>
              <w:rPr>
                <w:rFonts w:eastAsia="Calibri" w:cstheme="minorHAnsi"/>
                <w:b/>
                <w:bCs/>
                <w:u w:val="single"/>
              </w:rPr>
              <w:t>Pour l’enseignement ordinaire en alternance :</w:t>
            </w:r>
          </w:p>
          <w:p w:rsidR="00243D39" w:rsidRDefault="00243D39" w:rsidP="00885A18">
            <w:pPr>
              <w:widowControl w:val="0"/>
              <w:autoSpaceDE w:val="0"/>
              <w:autoSpaceDN w:val="0"/>
              <w:ind w:left="-10" w:right="54"/>
              <w:jc w:val="both"/>
              <w:rPr>
                <w:rFonts w:eastAsia="Calibri" w:cstheme="minorHAnsi"/>
                <w:sz w:val="20"/>
                <w:szCs w:val="20"/>
                <w:lang w:eastAsia="fr-FR" w:bidi="fr-FR"/>
              </w:rPr>
            </w:pPr>
            <w:r>
              <w:rPr>
                <w:rFonts w:eastAsia="Calibri" w:cstheme="minorHAnsi"/>
                <w:sz w:val="20"/>
                <w:szCs w:val="20"/>
                <w:lang w:eastAsia="fr-FR" w:bidi="fr-FR"/>
              </w:rPr>
              <w:t xml:space="preserve">Peuvent être admis dans l'enseignement secondaire en alternance, </w:t>
            </w:r>
            <w:r>
              <w:rPr>
                <w:rFonts w:eastAsia="Calibri" w:cstheme="minorHAnsi"/>
                <w:b/>
                <w:bCs/>
                <w:sz w:val="20"/>
                <w:szCs w:val="20"/>
                <w:lang w:eastAsia="fr-FR" w:bidi="fr-FR"/>
              </w:rPr>
              <w:t>au deuxième degré</w:t>
            </w:r>
            <w:r>
              <w:rPr>
                <w:rFonts w:eastAsia="Calibri" w:cstheme="minorHAnsi"/>
                <w:sz w:val="20"/>
                <w:szCs w:val="20"/>
                <w:lang w:eastAsia="fr-FR" w:bidi="fr-FR"/>
              </w:rPr>
              <w:t>, en application du Décret du 3 juillet 1991 organisant l’enseignement secondaire en alternance, articles 6 et 8 §2 :</w:t>
            </w:r>
          </w:p>
          <w:p w:rsidR="00243D39" w:rsidRDefault="00243D39" w:rsidP="00885A18">
            <w:pPr>
              <w:widowControl w:val="0"/>
              <w:autoSpaceDE w:val="0"/>
              <w:autoSpaceDN w:val="0"/>
              <w:ind w:right="54" w:hanging="10"/>
              <w:jc w:val="both"/>
              <w:rPr>
                <w:rFonts w:eastAsia="Calibri" w:cstheme="minorHAnsi"/>
                <w:sz w:val="20"/>
                <w:szCs w:val="20"/>
                <w:lang w:eastAsia="fr-FR" w:bidi="fr-FR"/>
              </w:rPr>
            </w:pPr>
          </w:p>
          <w:p w:rsidR="00243D39" w:rsidRDefault="00243D39" w:rsidP="00885A18">
            <w:pPr>
              <w:widowControl w:val="0"/>
              <w:autoSpaceDE w:val="0"/>
              <w:autoSpaceDN w:val="0"/>
              <w:ind w:right="54" w:hanging="10"/>
              <w:jc w:val="both"/>
              <w:rPr>
                <w:rFonts w:eastAsia="Calibri" w:cstheme="minorHAnsi"/>
                <w:sz w:val="20"/>
                <w:szCs w:val="20"/>
                <w:lang w:eastAsia="fr-FR" w:bidi="fr-FR"/>
              </w:rPr>
            </w:pPr>
            <w:r>
              <w:rPr>
                <w:rFonts w:eastAsia="Calibri" w:cstheme="minorHAnsi"/>
                <w:sz w:val="20"/>
                <w:szCs w:val="20"/>
                <w:lang w:eastAsia="fr-FR" w:bidi="fr-FR"/>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243D39" w:rsidRDefault="00243D39" w:rsidP="00885A18">
            <w:pPr>
              <w:widowControl w:val="0"/>
              <w:autoSpaceDE w:val="0"/>
              <w:autoSpaceDN w:val="0"/>
              <w:ind w:left="97" w:right="638"/>
              <w:jc w:val="both"/>
              <w:rPr>
                <w:rFonts w:eastAsia="Calibri" w:cstheme="minorHAnsi"/>
                <w:sz w:val="20"/>
                <w:szCs w:val="20"/>
                <w:lang w:eastAsia="fr-FR" w:bidi="fr-FR"/>
              </w:rPr>
            </w:pPr>
          </w:p>
          <w:p w:rsidR="00243D39" w:rsidRDefault="00243D39" w:rsidP="00885A18">
            <w:pPr>
              <w:widowControl w:val="0"/>
              <w:autoSpaceDE w:val="0"/>
              <w:autoSpaceDN w:val="0"/>
              <w:ind w:right="638"/>
              <w:jc w:val="both"/>
              <w:rPr>
                <w:rFonts w:eastAsia="Calibri" w:cstheme="minorHAnsi"/>
                <w:sz w:val="20"/>
                <w:szCs w:val="20"/>
                <w:lang w:eastAsia="fr-FR" w:bidi="fr-FR"/>
              </w:rPr>
            </w:pPr>
            <w:r>
              <w:rPr>
                <w:rFonts w:eastAsia="Calibri" w:cstheme="minorHAnsi"/>
                <w:sz w:val="20"/>
                <w:szCs w:val="20"/>
                <w:lang w:eastAsia="fr-FR" w:bidi="fr-FR"/>
              </w:rPr>
              <w:t>2° les jeunes âgés de plus de 18 ans et de moins de 21 ans au 31 décembre sous réserve d'avoir conclu soit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 contrat d’alternance;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 contrat d’apprentissage de professions exercées par des travailleurs salariés;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une convention emploi formation;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toute autre forme de contrat ou de convention reconnue par la législation du travail et s’inscrivant dans le cadre d’une formation en alternance qui aura reçu l’approbation du Gouvernement de la Fédération Wallonie-Bruxelles</w:t>
            </w:r>
          </w:p>
          <w:p w:rsidR="00243D39" w:rsidRDefault="00243D39" w:rsidP="00885A18">
            <w:pPr>
              <w:jc w:val="both"/>
              <w:rPr>
                <w:rFonts w:cstheme="minorHAnsi"/>
                <w:sz w:val="20"/>
                <w:szCs w:val="20"/>
                <w:lang w:eastAsia="en-GB"/>
              </w:rPr>
            </w:pPr>
          </w:p>
          <w:p w:rsidR="00243D39" w:rsidRDefault="00243D39" w:rsidP="00885A18">
            <w:pPr>
              <w:widowControl w:val="0"/>
              <w:autoSpaceDE w:val="0"/>
              <w:autoSpaceDN w:val="0"/>
              <w:ind w:right="292"/>
              <w:jc w:val="both"/>
              <w:rPr>
                <w:rFonts w:eastAsia="Calibri" w:cstheme="minorHAnsi"/>
                <w:sz w:val="20"/>
                <w:szCs w:val="20"/>
                <w:lang w:eastAsia="fr-FR" w:bidi="fr-FR"/>
              </w:rPr>
            </w:pPr>
            <w:r>
              <w:rPr>
                <w:rFonts w:eastAsia="Calibri" w:cstheme="minorHAnsi"/>
                <w:sz w:val="20"/>
                <w:szCs w:val="20"/>
                <w:lang w:eastAsia="fr-FR" w:bidi="fr-FR"/>
              </w:rPr>
              <w:t>3° les jeunes âgés de plus de 21 ans et de moins de 25 ans au 31 décembre, bénéficiant de l'enseignement secondaire en alternance depuis le 1er octobre de l'année où ils atteignent l'âge de 21 ans, sous réserve d'avoir conclu soit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 contrat d’alternance ;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 contrat d’apprentissage de professions exercées par des travailleurs salariés;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une convention de premier emploi de </w:t>
            </w:r>
            <w:proofErr w:type="gramStart"/>
            <w:r>
              <w:rPr>
                <w:rFonts w:eastAsia="Calibri" w:cstheme="minorHAnsi"/>
                <w:sz w:val="20"/>
                <w:szCs w:val="20"/>
              </w:rPr>
              <w:t>type</w:t>
            </w:r>
            <w:proofErr w:type="gramEnd"/>
            <w:r>
              <w:rPr>
                <w:rFonts w:eastAsia="Calibri" w:cstheme="minorHAnsi"/>
                <w:sz w:val="20"/>
                <w:szCs w:val="20"/>
              </w:rPr>
              <w:t xml:space="preserve"> 2 ou 3 liée à un contrat de travail (CDD, CDI) ;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toute autre forme de contrat ou de convention reconnue par la législation du travail et s’inscrivant dans le cadre d’une formation en alternance qui aura reçu l’approbation du Gouvernement de la Fédération Wallonie-Bruxelles.</w:t>
            </w:r>
          </w:p>
          <w:p w:rsidR="00243D39" w:rsidRDefault="00243D39" w:rsidP="00885A18">
            <w:pPr>
              <w:widowControl w:val="0"/>
              <w:autoSpaceDE w:val="0"/>
              <w:autoSpaceDN w:val="0"/>
              <w:ind w:right="1258"/>
              <w:jc w:val="both"/>
              <w:rPr>
                <w:rFonts w:eastAsia="Calibri" w:cstheme="minorHAnsi"/>
                <w:sz w:val="20"/>
                <w:szCs w:val="20"/>
                <w:lang w:eastAsia="fr-FR" w:bidi="fr-FR"/>
              </w:rPr>
            </w:pPr>
            <w:r>
              <w:rPr>
                <w:rFonts w:eastAsia="Calibri" w:cstheme="minorHAnsi"/>
                <w:sz w:val="20"/>
                <w:szCs w:val="20"/>
                <w:lang w:eastAsia="fr-FR" w:bidi="fr-FR"/>
              </w:rPr>
              <w:t>4° les jeunes âgés de plus de 21 ans et de moins de 25 ans au 31 décembre, inscrits dans l'enseignement de plein exercice, sous réserve d'avoir conclu soit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un contrat d’alternance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 contrat d’apprentissage de professions exercées par des travailleurs salariés;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une convention de premier emploi de </w:t>
            </w:r>
            <w:proofErr w:type="gramStart"/>
            <w:r>
              <w:rPr>
                <w:rFonts w:eastAsia="Calibri" w:cstheme="minorHAnsi"/>
                <w:sz w:val="20"/>
                <w:szCs w:val="20"/>
              </w:rPr>
              <w:t>type</w:t>
            </w:r>
            <w:proofErr w:type="gramEnd"/>
            <w:r>
              <w:rPr>
                <w:rFonts w:eastAsia="Calibri" w:cstheme="minorHAnsi"/>
                <w:sz w:val="20"/>
                <w:szCs w:val="20"/>
              </w:rPr>
              <w:t xml:space="preserve"> 2 ou 3 liée à un contrat de travail (CDD, CDI) ;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243D39" w:rsidRDefault="00243D39" w:rsidP="00885A18">
            <w:pPr>
              <w:widowControl w:val="0"/>
              <w:autoSpaceDE w:val="0"/>
              <w:autoSpaceDN w:val="0"/>
              <w:ind w:left="97" w:right="292"/>
              <w:jc w:val="both"/>
              <w:rPr>
                <w:rFonts w:eastAsia="Calibri" w:cstheme="minorHAnsi"/>
                <w:sz w:val="20"/>
                <w:szCs w:val="20"/>
                <w:lang w:eastAsia="fr-FR" w:bidi="fr-FR"/>
              </w:rPr>
            </w:pPr>
          </w:p>
          <w:p w:rsidR="00243D39" w:rsidRDefault="00243D39" w:rsidP="00885A18">
            <w:pPr>
              <w:widowControl w:val="0"/>
              <w:autoSpaceDE w:val="0"/>
              <w:autoSpaceDN w:val="0"/>
              <w:ind w:left="97" w:right="292"/>
              <w:jc w:val="both"/>
              <w:rPr>
                <w:rFonts w:eastAsia="Calibri" w:cstheme="minorHAnsi"/>
                <w:sz w:val="20"/>
                <w:szCs w:val="20"/>
                <w:lang w:eastAsia="fr-FR" w:bidi="fr-FR"/>
              </w:rPr>
            </w:pPr>
            <w:r>
              <w:rPr>
                <w:rFonts w:eastAsia="Calibri" w:cstheme="minorHAnsi"/>
                <w:sz w:val="20"/>
                <w:szCs w:val="20"/>
                <w:lang w:eastAsia="fr-FR" w:bidi="fr-FR"/>
              </w:rPr>
              <w:t xml:space="preserve">Peuvent être admis comme élèves réguliers </w:t>
            </w:r>
            <w:r>
              <w:rPr>
                <w:rFonts w:eastAsia="Calibri" w:cstheme="minorHAnsi"/>
                <w:b/>
                <w:bCs/>
                <w:sz w:val="20"/>
                <w:szCs w:val="20"/>
                <w:lang w:eastAsia="fr-FR" w:bidi="fr-FR"/>
              </w:rPr>
              <w:t>au 3</w:t>
            </w:r>
            <w:r>
              <w:rPr>
                <w:rFonts w:eastAsia="Calibri" w:cstheme="minorHAnsi"/>
                <w:b/>
                <w:bCs/>
                <w:sz w:val="20"/>
                <w:szCs w:val="20"/>
                <w:vertAlign w:val="superscript"/>
                <w:lang w:eastAsia="fr-FR" w:bidi="fr-FR"/>
              </w:rPr>
              <w:t>e</w:t>
            </w:r>
            <w:r>
              <w:rPr>
                <w:rFonts w:eastAsia="Calibri" w:cstheme="minorHAnsi"/>
                <w:b/>
                <w:bCs/>
                <w:sz w:val="20"/>
                <w:szCs w:val="20"/>
                <w:lang w:eastAsia="fr-FR" w:bidi="fr-FR"/>
              </w:rPr>
              <w:t xml:space="preserve"> degré de</w:t>
            </w:r>
            <w:r>
              <w:rPr>
                <w:rFonts w:eastAsia="Calibri" w:cstheme="minorHAnsi"/>
                <w:sz w:val="20"/>
                <w:szCs w:val="20"/>
                <w:lang w:eastAsia="fr-FR" w:bidi="fr-FR"/>
              </w:rPr>
              <w:t xml:space="preserve"> l'enseignement secondaire professionnel en alternance, les titulaires d'un des certificats suivants ou d'un titre reconnu équivalent à un de ces certificats :</w:t>
            </w:r>
          </w:p>
          <w:p w:rsidR="00243D39" w:rsidRDefault="00243D39" w:rsidP="00885A18">
            <w:pPr>
              <w:widowControl w:val="0"/>
              <w:autoSpaceDE w:val="0"/>
              <w:autoSpaceDN w:val="0"/>
              <w:ind w:left="97" w:right="292"/>
              <w:jc w:val="both"/>
              <w:rPr>
                <w:rFonts w:eastAsia="Calibri" w:cstheme="minorHAnsi"/>
                <w:sz w:val="20"/>
                <w:szCs w:val="20"/>
                <w:lang w:eastAsia="fr-FR" w:bidi="fr-FR"/>
              </w:rPr>
            </w:pP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l’attestation de compétences professionnelles du 2ème degré de l’enseignement secondaire en alternance;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le certificat d’enseignement secondaire du 2ème degré ou le certificat d’enseignement secondaire inférieur; </w:t>
            </w:r>
          </w:p>
          <w:p w:rsidR="00243D39" w:rsidRDefault="00243D39" w:rsidP="00243D39">
            <w:pPr>
              <w:pStyle w:val="Paragraphedeliste"/>
              <w:widowControl w:val="0"/>
              <w:numPr>
                <w:ilvl w:val="0"/>
                <w:numId w:val="2"/>
              </w:numPr>
              <w:autoSpaceDE w:val="0"/>
              <w:autoSpaceDN w:val="0"/>
              <w:jc w:val="both"/>
              <w:rPr>
                <w:rFonts w:eastAsia="Calibri" w:cstheme="minorHAnsi"/>
                <w:sz w:val="20"/>
                <w:szCs w:val="20"/>
              </w:rPr>
            </w:pPr>
            <w:r>
              <w:rPr>
                <w:rFonts w:eastAsia="Calibri" w:cstheme="minorHAnsi"/>
                <w:sz w:val="20"/>
                <w:szCs w:val="20"/>
              </w:rPr>
              <w:t xml:space="preserve">le certificat de qualification de 3ème phase de l’enseignement spécialisé de forme 3. </w:t>
            </w:r>
          </w:p>
          <w:p w:rsidR="00243D39" w:rsidRDefault="00243D39" w:rsidP="00885A18">
            <w:pPr>
              <w:widowControl w:val="0"/>
              <w:autoSpaceDE w:val="0"/>
              <w:autoSpaceDN w:val="0"/>
              <w:ind w:left="97" w:right="292"/>
              <w:jc w:val="both"/>
              <w:rPr>
                <w:rFonts w:eastAsia="Calibri" w:cstheme="minorHAnsi"/>
                <w:sz w:val="20"/>
                <w:szCs w:val="20"/>
                <w:lang w:eastAsia="fr-FR" w:bidi="fr-FR"/>
              </w:rPr>
            </w:pPr>
          </w:p>
          <w:p w:rsidR="00243D39" w:rsidRDefault="00243D39" w:rsidP="00885A18">
            <w:pPr>
              <w:widowControl w:val="0"/>
              <w:autoSpaceDE w:val="0"/>
              <w:autoSpaceDN w:val="0"/>
              <w:ind w:left="97" w:right="105"/>
              <w:jc w:val="both"/>
              <w:rPr>
                <w:rFonts w:eastAsia="Calibri" w:cstheme="minorHAnsi"/>
                <w:sz w:val="20"/>
                <w:szCs w:val="20"/>
                <w:lang w:eastAsia="fr-FR" w:bidi="fr-FR"/>
              </w:rPr>
            </w:pPr>
            <w:r>
              <w:rPr>
                <w:rFonts w:eastAsia="Calibri" w:cstheme="minorHAnsi"/>
                <w:sz w:val="20"/>
                <w:szCs w:val="20"/>
                <w:lang w:eastAsia="fr-FR" w:bidi="fr-FR"/>
              </w:rPr>
              <w:t>Les candidats qui n'ont obtenu aucun de ces certificats ne peuvent être admis comme élèves réguliers que dans le deuxième degré de l'enseignement secondaire professionnel.</w:t>
            </w:r>
          </w:p>
          <w:p w:rsidR="00243D39" w:rsidRDefault="00243D39" w:rsidP="00885A18">
            <w:pPr>
              <w:widowControl w:val="0"/>
              <w:autoSpaceDE w:val="0"/>
              <w:autoSpaceDN w:val="0"/>
              <w:ind w:left="97" w:right="105"/>
              <w:jc w:val="both"/>
              <w:rPr>
                <w:rFonts w:eastAsia="Calibri" w:cstheme="minorHAnsi"/>
                <w:sz w:val="20"/>
                <w:szCs w:val="20"/>
                <w:lang w:eastAsia="fr-FR" w:bidi="fr-FR"/>
              </w:rPr>
            </w:pPr>
          </w:p>
          <w:p w:rsidR="00243D39" w:rsidRDefault="00243D39" w:rsidP="00885A18">
            <w:pPr>
              <w:widowControl w:val="0"/>
              <w:autoSpaceDE w:val="0"/>
              <w:autoSpaceDN w:val="0"/>
              <w:ind w:left="97" w:right="105"/>
              <w:jc w:val="both"/>
              <w:rPr>
                <w:rFonts w:eastAsia="Calibri" w:cstheme="minorHAnsi"/>
                <w:sz w:val="20"/>
                <w:szCs w:val="20"/>
                <w:lang w:eastAsia="fr-FR" w:bidi="fr-FR"/>
              </w:rPr>
            </w:pPr>
            <w:r>
              <w:rPr>
                <w:rFonts w:eastAsia="Calibri" w:cstheme="minorHAnsi"/>
                <w:sz w:val="20"/>
                <w:szCs w:val="20"/>
                <w:lang w:eastAsia="fr-FR" w:bidi="fr-FR"/>
              </w:rPr>
              <w:t>Les conditions d’âge (sauf pour les élèves mineures qui ne sont pas concernés) et de contrat/conventions sont les mêmes que pour le 2</w:t>
            </w:r>
            <w:r>
              <w:rPr>
                <w:rFonts w:eastAsia="Calibri" w:cstheme="minorHAnsi"/>
                <w:sz w:val="20"/>
                <w:szCs w:val="20"/>
                <w:vertAlign w:val="superscript"/>
                <w:lang w:eastAsia="fr-FR" w:bidi="fr-FR"/>
              </w:rPr>
              <w:t>e</w:t>
            </w:r>
            <w:r>
              <w:rPr>
                <w:rFonts w:eastAsia="Calibri" w:cstheme="minorHAnsi"/>
                <w:sz w:val="20"/>
                <w:szCs w:val="20"/>
                <w:lang w:eastAsia="fr-FR" w:bidi="fr-FR"/>
              </w:rPr>
              <w:t xml:space="preserve"> degré</w:t>
            </w:r>
          </w:p>
          <w:p w:rsidR="00243D39" w:rsidRDefault="00243D39" w:rsidP="00885A18">
            <w:pPr>
              <w:spacing w:before="40" w:after="40"/>
              <w:jc w:val="both"/>
              <w:rPr>
                <w:rFonts w:cstheme="minorHAnsi"/>
                <w:b/>
                <w:sz w:val="20"/>
                <w:szCs w:val="20"/>
                <w:lang w:eastAsia="en-GB"/>
              </w:rPr>
            </w:pPr>
            <w:r>
              <w:rPr>
                <w:rFonts w:cstheme="minorHAnsi"/>
                <w:b/>
                <w:sz w:val="20"/>
                <w:szCs w:val="20"/>
                <w:lang w:eastAsia="en-GB"/>
              </w:rPr>
              <w:t>Information complémentaire</w:t>
            </w:r>
          </w:p>
          <w:p w:rsidR="00243D39" w:rsidRDefault="00243D39" w:rsidP="00885A18">
            <w:r>
              <w:rPr>
                <w:rFonts w:cstheme="minorHAnsi"/>
                <w:color w:val="0070C0"/>
                <w:sz w:val="20"/>
                <w:szCs w:val="20"/>
                <w:lang w:eastAsia="en-GB"/>
              </w:rPr>
              <w:t>www.europass.eu</w:t>
            </w:r>
          </w:p>
          <w:p w:rsidR="00243D39" w:rsidRDefault="00243D39" w:rsidP="00885A18"/>
        </w:tc>
      </w:tr>
    </w:tbl>
    <w:p w:rsidR="00A14265" w:rsidRDefault="00A14265">
      <w:bookmarkStart w:id="0" w:name="_GoBack"/>
      <w:bookmarkEnd w:id="0"/>
    </w:p>
    <w:sectPr w:rsidR="00A14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39"/>
    <w:rsid w:val="00243D39"/>
    <w:rsid w:val="00A142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496D5C-3225-408D-B398-DA796B63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D39"/>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3D39"/>
    <w:rPr>
      <w:color w:val="0563C1" w:themeColor="hyperlink"/>
      <w:u w:val="single"/>
    </w:rPr>
  </w:style>
  <w:style w:type="paragraph" w:styleId="Paragraphedeliste">
    <w:name w:val="List Paragraph"/>
    <w:basedOn w:val="Normal"/>
    <w:link w:val="ParagraphedelisteCar"/>
    <w:uiPriority w:val="34"/>
    <w:qFormat/>
    <w:rsid w:val="00243D39"/>
    <w:pPr>
      <w:ind w:left="720"/>
      <w:contextualSpacing/>
    </w:pPr>
  </w:style>
  <w:style w:type="table" w:customStyle="1" w:styleId="Grilledutableau1">
    <w:name w:val="Grille du tableau1"/>
    <w:basedOn w:val="TableauNormal"/>
    <w:next w:val="Grilledutableau"/>
    <w:uiPriority w:val="39"/>
    <w:rsid w:val="00243D3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243D39"/>
    <w:rPr>
      <w:rFonts w:ascii="Arial" w:eastAsia="Times New Roman" w:hAnsi="Arial" w:cs="Times New Roman"/>
      <w:szCs w:val="24"/>
      <w:lang w:val="fr-FR" w:eastAsia="ar-SA"/>
    </w:rPr>
  </w:style>
  <w:style w:type="table" w:styleId="Grilledutableau">
    <w:name w:val="Table Grid"/>
    <w:basedOn w:val="TableauNormal"/>
    <w:uiPriority w:val="39"/>
    <w:rsid w:val="0024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hyperlink" Target="http://www.pole-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2024-02-27T14:45:00Z</dcterms:created>
  <dcterms:modified xsi:type="dcterms:W3CDTF">2024-02-27T14:46:00Z</dcterms:modified>
</cp:coreProperties>
</file>